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23984" w14:textId="1FF22B0F" w:rsidR="00A53FD3" w:rsidRDefault="005D5E20" w:rsidP="0018698A">
      <w:pPr>
        <w:autoSpaceDE w:val="0"/>
        <w:autoSpaceDN w:val="0"/>
        <w:adjustRightInd w:val="0"/>
        <w:spacing w:after="120"/>
        <w:ind w:left="-426"/>
        <w:rPr>
          <w:rFonts w:ascii="Arial Narrow" w:hAnsi="Arial Narrow" w:cs="Arial"/>
          <w:b/>
          <w:bCs/>
          <w:color w:val="E42618"/>
          <w:sz w:val="28"/>
          <w:szCs w:val="28"/>
        </w:rPr>
      </w:pPr>
      <w:bookmarkStart w:id="0" w:name="_GoBack"/>
      <w:bookmarkEnd w:id="0"/>
      <w:r>
        <w:rPr>
          <w:rFonts w:ascii="Arial Narrow" w:hAnsi="Arial Narrow" w:cs="Arial"/>
          <w:bCs/>
          <w:color w:val="000000"/>
          <w:sz w:val="26"/>
          <w:szCs w:val="26"/>
        </w:rPr>
        <w:t xml:space="preserve"> </w:t>
      </w:r>
    </w:p>
    <w:p w14:paraId="773E8A3C" w14:textId="77777777" w:rsidR="00A069BD" w:rsidRDefault="007A1363" w:rsidP="00A069BD">
      <w:pPr>
        <w:rPr>
          <w:rFonts w:ascii="Arial Narrow" w:hAnsi="Arial Narrow" w:cs="Arial"/>
          <w:b/>
          <w:bCs/>
          <w:color w:val="E42618"/>
          <w:sz w:val="28"/>
          <w:szCs w:val="28"/>
        </w:rPr>
      </w:pPr>
      <w:r>
        <w:rPr>
          <w:rFonts w:ascii="Arial Narrow" w:hAnsi="Arial Narrow" w:cs="Arial"/>
          <w:b/>
          <w:bCs/>
          <w:color w:val="E42618"/>
          <w:sz w:val="28"/>
          <w:szCs w:val="28"/>
        </w:rPr>
        <w:t>ISCRIZIONI E CANCELLAZIONI ANAGRAFICHE DELLA</w:t>
      </w:r>
      <w:r w:rsidR="00C92BA1">
        <w:rPr>
          <w:rFonts w:ascii="Arial Narrow" w:hAnsi="Arial Narrow" w:cs="Arial"/>
          <w:b/>
          <w:bCs/>
          <w:color w:val="E42618"/>
          <w:sz w:val="28"/>
          <w:szCs w:val="28"/>
        </w:rPr>
        <w:t xml:space="preserve"> POPOLAZIONE RESIDENTE</w:t>
      </w:r>
      <w:r w:rsidR="00EB1D63">
        <w:rPr>
          <w:rFonts w:ascii="Arial Narrow" w:hAnsi="Arial Narrow" w:cs="Arial"/>
          <w:b/>
          <w:bCs/>
          <w:color w:val="E42618"/>
          <w:sz w:val="28"/>
          <w:szCs w:val="28"/>
        </w:rPr>
        <w:t xml:space="preserve"> </w:t>
      </w:r>
      <w:r w:rsidR="00F7614B" w:rsidRPr="00684E2E">
        <w:rPr>
          <w:rFonts w:ascii="Arial Narrow" w:hAnsi="Arial Narrow" w:cs="Arial"/>
          <w:b/>
          <w:bCs/>
          <w:color w:val="1F497D"/>
          <w:sz w:val="28"/>
          <w:szCs w:val="28"/>
        </w:rPr>
        <w:t>|</w:t>
      </w:r>
      <w:r w:rsidR="00EB1D63" w:rsidRPr="00AA345C">
        <w:rPr>
          <w:rFonts w:ascii="Arial Narrow" w:hAnsi="Arial Narrow" w:cs="Arial"/>
          <w:b/>
          <w:bCs/>
          <w:color w:val="E42618"/>
          <w:sz w:val="28"/>
          <w:szCs w:val="28"/>
        </w:rPr>
        <w:t xml:space="preserve"> </w:t>
      </w:r>
    </w:p>
    <w:p w14:paraId="1E85585E" w14:textId="354A1835" w:rsidR="0047746A" w:rsidRDefault="002A5447" w:rsidP="00A069BD">
      <w:pPr>
        <w:rPr>
          <w:rFonts w:ascii="Arial Narrow" w:hAnsi="Arial Narrow" w:cs="Arial"/>
          <w:b/>
          <w:bCs/>
          <w:color w:val="E42618"/>
          <w:sz w:val="28"/>
          <w:szCs w:val="28"/>
        </w:rPr>
      </w:pPr>
      <w:r w:rsidRPr="00EB1D63">
        <w:rPr>
          <w:rFonts w:ascii="Arial Narrow" w:hAnsi="Arial Narrow" w:cs="Arial"/>
          <w:b/>
          <w:bCs/>
          <w:color w:val="E42618"/>
          <w:sz w:val="28"/>
          <w:szCs w:val="28"/>
        </w:rPr>
        <w:t>ANN</w:t>
      </w:r>
      <w:r w:rsidR="00B341E0" w:rsidRPr="00EB1D63">
        <w:rPr>
          <w:rFonts w:ascii="Arial Narrow" w:hAnsi="Arial Narrow" w:cs="Arial"/>
          <w:b/>
          <w:bCs/>
          <w:color w:val="E42618"/>
          <w:sz w:val="28"/>
          <w:szCs w:val="28"/>
        </w:rPr>
        <w:t>O</w:t>
      </w:r>
      <w:r w:rsidRPr="00EB1D63">
        <w:rPr>
          <w:rFonts w:ascii="Arial Narrow" w:hAnsi="Arial Narrow" w:cs="Arial"/>
          <w:b/>
          <w:bCs/>
          <w:color w:val="E42618"/>
          <w:sz w:val="28"/>
          <w:szCs w:val="28"/>
        </w:rPr>
        <w:t xml:space="preserve"> 201</w:t>
      </w:r>
      <w:r w:rsidR="00B341E0" w:rsidRPr="00EB1D63">
        <w:rPr>
          <w:rFonts w:ascii="Arial Narrow" w:hAnsi="Arial Narrow" w:cs="Arial"/>
          <w:b/>
          <w:bCs/>
          <w:color w:val="E42618"/>
          <w:sz w:val="28"/>
          <w:szCs w:val="28"/>
        </w:rPr>
        <w:t>8</w:t>
      </w:r>
    </w:p>
    <w:p w14:paraId="7C9BD8B3" w14:textId="77777777" w:rsidR="007E6EAA" w:rsidRPr="0047746A" w:rsidRDefault="007E6EAA" w:rsidP="007E6EAA">
      <w:pPr>
        <w:tabs>
          <w:tab w:val="left" w:pos="851"/>
        </w:tabs>
        <w:autoSpaceDE w:val="0"/>
        <w:autoSpaceDN w:val="0"/>
        <w:adjustRightInd w:val="0"/>
        <w:jc w:val="both"/>
        <w:rPr>
          <w:rFonts w:ascii="Arial Narrow" w:hAnsi="Arial Narrow" w:cs="Arial"/>
          <w:bCs/>
          <w:color w:val="1F497D" w:themeColor="text2"/>
          <w:sz w:val="18"/>
          <w:szCs w:val="52"/>
        </w:rPr>
      </w:pPr>
    </w:p>
    <w:p w14:paraId="01D540F8" w14:textId="0F71F195" w:rsidR="00A2532B" w:rsidRPr="00AA345C" w:rsidRDefault="002C159C" w:rsidP="00A2532B">
      <w:pPr>
        <w:tabs>
          <w:tab w:val="left" w:pos="851"/>
        </w:tabs>
        <w:autoSpaceDE w:val="0"/>
        <w:autoSpaceDN w:val="0"/>
        <w:adjustRightInd w:val="0"/>
        <w:jc w:val="both"/>
        <w:rPr>
          <w:rFonts w:ascii="Georgia" w:hAnsi="Georgia" w:cs="Arial"/>
          <w:bCs/>
          <w:color w:val="1F497D" w:themeColor="text2"/>
          <w:spacing w:val="-16"/>
          <w:sz w:val="50"/>
          <w:szCs w:val="50"/>
        </w:rPr>
      </w:pPr>
      <w:r>
        <w:rPr>
          <w:rFonts w:ascii="Georgia" w:hAnsi="Georgia" w:cs="Arial"/>
          <w:bCs/>
          <w:color w:val="1F497D" w:themeColor="text2"/>
          <w:spacing w:val="-16"/>
          <w:sz w:val="50"/>
          <w:szCs w:val="50"/>
        </w:rPr>
        <w:t xml:space="preserve">Aumentano gli </w:t>
      </w:r>
      <w:r w:rsidR="00740073">
        <w:rPr>
          <w:rFonts w:ascii="Georgia" w:hAnsi="Georgia" w:cs="Arial"/>
          <w:bCs/>
          <w:color w:val="1F497D" w:themeColor="text2"/>
          <w:spacing w:val="-16"/>
          <w:sz w:val="50"/>
          <w:szCs w:val="50"/>
        </w:rPr>
        <w:t xml:space="preserve">italiani </w:t>
      </w:r>
      <w:r>
        <w:rPr>
          <w:rFonts w:ascii="Georgia" w:hAnsi="Georgia" w:cs="Arial"/>
          <w:bCs/>
          <w:color w:val="1F497D" w:themeColor="text2"/>
          <w:spacing w:val="-16"/>
          <w:sz w:val="50"/>
          <w:szCs w:val="50"/>
        </w:rPr>
        <w:t xml:space="preserve">che </w:t>
      </w:r>
      <w:r w:rsidR="00740073">
        <w:rPr>
          <w:rFonts w:ascii="Georgia" w:hAnsi="Georgia" w:cs="Arial"/>
          <w:bCs/>
          <w:color w:val="1F497D" w:themeColor="text2"/>
          <w:spacing w:val="-16"/>
          <w:sz w:val="50"/>
          <w:szCs w:val="50"/>
        </w:rPr>
        <w:t>si trasferiscono all’estero</w:t>
      </w:r>
      <w:r>
        <w:rPr>
          <w:rFonts w:ascii="Georgia" w:hAnsi="Georgia" w:cs="Arial"/>
          <w:bCs/>
          <w:color w:val="1F497D" w:themeColor="text2"/>
          <w:spacing w:val="-16"/>
          <w:sz w:val="50"/>
          <w:szCs w:val="50"/>
        </w:rPr>
        <w:t xml:space="preserve">, diminuiscono le immigrazioni </w:t>
      </w:r>
    </w:p>
    <w:p w14:paraId="6D2A19F8" w14:textId="77777777" w:rsidR="00740073" w:rsidRDefault="004A7C23" w:rsidP="00D67A37">
      <w:pPr>
        <w:tabs>
          <w:tab w:val="left" w:pos="851"/>
        </w:tabs>
        <w:autoSpaceDE w:val="0"/>
        <w:autoSpaceDN w:val="0"/>
        <w:adjustRightInd w:val="0"/>
        <w:spacing w:line="360" w:lineRule="exact"/>
        <w:ind w:left="567"/>
        <w:jc w:val="both"/>
        <w:rPr>
          <w:rFonts w:ascii="Georgia" w:hAnsi="Georgia" w:cs="Arial"/>
          <w:b/>
          <w:bCs/>
          <w:iCs/>
          <w:color w:val="1F497D" w:themeColor="text2"/>
          <w:sz w:val="28"/>
          <w:szCs w:val="28"/>
        </w:rPr>
      </w:pPr>
      <w:r>
        <w:rPr>
          <w:rFonts w:ascii="Georgia" w:hAnsi="Georgia" w:cs="Arial"/>
          <w:bCs/>
          <w:noProof/>
          <w:color w:val="1F497D" w:themeColor="text2"/>
          <w:sz w:val="18"/>
          <w:szCs w:val="28"/>
        </w:rPr>
        <mc:AlternateContent>
          <mc:Choice Requires="wps">
            <w:drawing>
              <wp:anchor distT="0" distB="0" distL="114300" distR="114300" simplePos="0" relativeHeight="251683840" behindDoc="0" locked="0" layoutInCell="1" allowOverlap="1" wp14:anchorId="5391815D" wp14:editId="101CADE5">
                <wp:simplePos x="0" y="0"/>
                <wp:positionH relativeFrom="column">
                  <wp:posOffset>-528955</wp:posOffset>
                </wp:positionH>
                <wp:positionV relativeFrom="paragraph">
                  <wp:posOffset>176530</wp:posOffset>
                </wp:positionV>
                <wp:extent cx="438150" cy="381000"/>
                <wp:effectExtent l="0" t="19050" r="38100" b="38100"/>
                <wp:wrapNone/>
                <wp:docPr id="21" name="Freccia a destr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F816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41.65pt;margin-top:13.9pt;width:34.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" adj="12209" fillcolor="#e42618" strokecolor="#e42618" strokeweight="2pt">
                <v:path arrowok="t"/>
              </v:shape>
            </w:pict>
          </mc:Fallback>
        </mc:AlternateContent>
      </w:r>
    </w:p>
    <w:p w14:paraId="033341ED" w14:textId="3D21A35F" w:rsidR="00C92BA1" w:rsidRDefault="00740073" w:rsidP="00D67A37">
      <w:pPr>
        <w:pStyle w:val="Default"/>
        <w:tabs>
          <w:tab w:val="left" w:pos="567"/>
        </w:tabs>
        <w:spacing w:after="120" w:line="360" w:lineRule="exact"/>
        <w:jc w:val="both"/>
        <w:rPr>
          <w:rFonts w:ascii="Georgia" w:hAnsi="Georgia" w:cs="Arial"/>
          <w:bCs/>
          <w:iCs/>
          <w:color w:val="1F497D" w:themeColor="text2"/>
          <w:sz w:val="28"/>
          <w:szCs w:val="28"/>
        </w:rPr>
      </w:pPr>
      <w:r>
        <w:rPr>
          <w:rFonts w:ascii="Georgia" w:hAnsi="Georgia" w:cs="Arial"/>
          <w:bCs/>
          <w:iCs/>
          <w:color w:val="1F497D" w:themeColor="text2"/>
          <w:sz w:val="28"/>
          <w:szCs w:val="28"/>
        </w:rPr>
        <w:t>Nel 2018</w:t>
      </w:r>
      <w:r w:rsidR="00C92BA1" w:rsidRPr="00C92BA1">
        <w:rPr>
          <w:rFonts w:ascii="Georgia" w:hAnsi="Georgia" w:cs="Arial"/>
          <w:bCs/>
          <w:iCs/>
          <w:color w:val="1F497D" w:themeColor="text2"/>
          <w:sz w:val="28"/>
          <w:szCs w:val="28"/>
        </w:rPr>
        <w:t xml:space="preserve"> le </w:t>
      </w:r>
      <w:r w:rsidR="00C92BA1" w:rsidRPr="00F64517">
        <w:rPr>
          <w:rFonts w:ascii="Georgia" w:hAnsi="Georgia" w:cs="Arial"/>
          <w:b/>
          <w:bCs/>
          <w:iCs/>
          <w:color w:val="1F497D" w:themeColor="text2"/>
          <w:sz w:val="28"/>
          <w:szCs w:val="28"/>
        </w:rPr>
        <w:t>cancellazioni anagrafiche per l’estero</w:t>
      </w:r>
      <w:r w:rsidR="00C92BA1" w:rsidRPr="00C92BA1">
        <w:rPr>
          <w:rFonts w:ascii="Georgia" w:hAnsi="Georgia" w:cs="Arial"/>
          <w:bCs/>
          <w:iCs/>
          <w:color w:val="1F497D" w:themeColor="text2"/>
          <w:sz w:val="28"/>
          <w:szCs w:val="28"/>
        </w:rPr>
        <w:t xml:space="preserve"> </w:t>
      </w:r>
      <w:r w:rsidR="00C92BA1" w:rsidRPr="00740073">
        <w:rPr>
          <w:rFonts w:ascii="Georgia" w:hAnsi="Georgia" w:cs="Arial"/>
          <w:b/>
          <w:bCs/>
          <w:iCs/>
          <w:color w:val="1F497D" w:themeColor="text2"/>
          <w:sz w:val="28"/>
          <w:szCs w:val="28"/>
        </w:rPr>
        <w:t>(emigrazioni)</w:t>
      </w:r>
      <w:r w:rsidR="00C92BA1" w:rsidRPr="00C92BA1">
        <w:rPr>
          <w:rFonts w:ascii="Georgia" w:hAnsi="Georgia" w:cs="Arial"/>
          <w:bCs/>
          <w:iCs/>
          <w:color w:val="1F497D" w:themeColor="text2"/>
          <w:sz w:val="28"/>
          <w:szCs w:val="28"/>
        </w:rPr>
        <w:t xml:space="preserve"> sono 15</w:t>
      </w:r>
      <w:r>
        <w:rPr>
          <w:rFonts w:ascii="Georgia" w:hAnsi="Georgia" w:cs="Arial"/>
          <w:bCs/>
          <w:iCs/>
          <w:color w:val="1F497D" w:themeColor="text2"/>
          <w:sz w:val="28"/>
          <w:szCs w:val="28"/>
        </w:rPr>
        <w:t>7</w:t>
      </w:r>
      <w:r w:rsidR="00C92BA1" w:rsidRPr="00C92BA1">
        <w:rPr>
          <w:rFonts w:ascii="Georgia" w:hAnsi="Georgia" w:cs="Arial"/>
          <w:bCs/>
          <w:iCs/>
          <w:color w:val="1F497D" w:themeColor="text2"/>
          <w:sz w:val="28"/>
          <w:szCs w:val="28"/>
        </w:rPr>
        <w:t xml:space="preserve"> mila</w:t>
      </w:r>
      <w:r>
        <w:rPr>
          <w:rFonts w:ascii="Georgia" w:hAnsi="Georgia" w:cs="Arial"/>
          <w:bCs/>
          <w:iCs/>
          <w:color w:val="1F497D" w:themeColor="text2"/>
          <w:sz w:val="28"/>
          <w:szCs w:val="28"/>
        </w:rPr>
        <w:t xml:space="preserve"> (+</w:t>
      </w:r>
      <w:r w:rsidR="00C92BA1" w:rsidRPr="00C92BA1">
        <w:rPr>
          <w:rFonts w:ascii="Georgia" w:hAnsi="Georgia" w:cs="Arial"/>
          <w:bCs/>
          <w:iCs/>
          <w:color w:val="1F497D" w:themeColor="text2"/>
          <w:sz w:val="28"/>
          <w:szCs w:val="28"/>
        </w:rPr>
        <w:t>1,2%</w:t>
      </w:r>
      <w:r w:rsidR="004D22B4">
        <w:rPr>
          <w:rFonts w:ascii="Georgia" w:hAnsi="Georgia" w:cs="Arial"/>
          <w:bCs/>
          <w:iCs/>
          <w:color w:val="1F497D" w:themeColor="text2"/>
          <w:sz w:val="28"/>
          <w:szCs w:val="28"/>
        </w:rPr>
        <w:t xml:space="preserve"> sul 2017</w:t>
      </w:r>
      <w:r w:rsidR="00C92BA1" w:rsidRPr="00C92BA1">
        <w:rPr>
          <w:rFonts w:ascii="Georgia" w:hAnsi="Georgia" w:cs="Arial"/>
          <w:bCs/>
          <w:iCs/>
          <w:color w:val="1F497D" w:themeColor="text2"/>
          <w:sz w:val="28"/>
          <w:szCs w:val="28"/>
        </w:rPr>
        <w:t xml:space="preserve">). Di queste, </w:t>
      </w:r>
      <w:r w:rsidR="00E74D51">
        <w:rPr>
          <w:rFonts w:ascii="Georgia" w:hAnsi="Georgia" w:cs="Arial"/>
          <w:bCs/>
          <w:iCs/>
          <w:color w:val="1F497D" w:themeColor="text2"/>
          <w:sz w:val="28"/>
          <w:szCs w:val="28"/>
        </w:rPr>
        <w:t xml:space="preserve">quasi </w:t>
      </w:r>
      <w:r>
        <w:rPr>
          <w:rFonts w:ascii="Georgia" w:hAnsi="Georgia" w:cs="Arial"/>
          <w:bCs/>
          <w:iCs/>
          <w:color w:val="1F497D" w:themeColor="text2"/>
          <w:sz w:val="28"/>
          <w:szCs w:val="28"/>
        </w:rPr>
        <w:t xml:space="preserve">tre su </w:t>
      </w:r>
      <w:r w:rsidR="00C92BA1" w:rsidRPr="00C92BA1">
        <w:rPr>
          <w:rFonts w:ascii="Georgia" w:hAnsi="Georgia" w:cs="Arial"/>
          <w:bCs/>
          <w:iCs/>
          <w:color w:val="1F497D" w:themeColor="text2"/>
          <w:sz w:val="28"/>
          <w:szCs w:val="28"/>
        </w:rPr>
        <w:t>quattro riguardano emigrati italiani (</w:t>
      </w:r>
      <w:r w:rsidR="006F0971" w:rsidRPr="00C92BA1">
        <w:rPr>
          <w:rFonts w:ascii="Georgia" w:hAnsi="Georgia" w:cs="Arial"/>
          <w:bCs/>
          <w:iCs/>
          <w:color w:val="1F497D" w:themeColor="text2"/>
          <w:sz w:val="28"/>
          <w:szCs w:val="28"/>
        </w:rPr>
        <w:t>11</w:t>
      </w:r>
      <w:r w:rsidR="006F0971">
        <w:rPr>
          <w:rFonts w:ascii="Georgia" w:hAnsi="Georgia" w:cs="Arial"/>
          <w:bCs/>
          <w:iCs/>
          <w:color w:val="1F497D" w:themeColor="text2"/>
          <w:sz w:val="28"/>
          <w:szCs w:val="28"/>
        </w:rPr>
        <w:t>7</w:t>
      </w:r>
      <w:r w:rsidR="006F0971" w:rsidRPr="00C92BA1">
        <w:rPr>
          <w:rFonts w:ascii="Georgia" w:hAnsi="Georgia" w:cs="Arial"/>
          <w:bCs/>
          <w:iCs/>
          <w:color w:val="1F497D" w:themeColor="text2"/>
          <w:sz w:val="28"/>
          <w:szCs w:val="28"/>
        </w:rPr>
        <w:t xml:space="preserve"> </w:t>
      </w:r>
      <w:r w:rsidR="00C92BA1" w:rsidRPr="00C92BA1">
        <w:rPr>
          <w:rFonts w:ascii="Georgia" w:hAnsi="Georgia" w:cs="Arial"/>
          <w:bCs/>
          <w:iCs/>
          <w:color w:val="1F497D" w:themeColor="text2"/>
          <w:sz w:val="28"/>
          <w:szCs w:val="28"/>
        </w:rPr>
        <w:t>mila,</w:t>
      </w:r>
      <w:r w:rsidR="009C69F7">
        <w:rPr>
          <w:rFonts w:ascii="Georgia" w:hAnsi="Georgia" w:cs="Arial"/>
          <w:bCs/>
          <w:iCs/>
          <w:color w:val="1F497D" w:themeColor="text2"/>
          <w:sz w:val="28"/>
          <w:szCs w:val="28"/>
        </w:rPr>
        <w:t xml:space="preserve"> </w:t>
      </w:r>
      <w:r>
        <w:rPr>
          <w:rFonts w:ascii="Georgia" w:hAnsi="Georgia" w:cs="Arial"/>
          <w:bCs/>
          <w:iCs/>
          <w:color w:val="1F497D" w:themeColor="text2"/>
          <w:sz w:val="28"/>
          <w:szCs w:val="28"/>
        </w:rPr>
        <w:t>+1,9%</w:t>
      </w:r>
      <w:r w:rsidR="00C92BA1" w:rsidRPr="00C92BA1">
        <w:rPr>
          <w:rFonts w:ascii="Georgia" w:hAnsi="Georgia" w:cs="Arial"/>
          <w:bCs/>
          <w:iCs/>
          <w:color w:val="1F497D" w:themeColor="text2"/>
          <w:sz w:val="28"/>
          <w:szCs w:val="28"/>
        </w:rPr>
        <w:t>).</w:t>
      </w:r>
    </w:p>
    <w:p w14:paraId="1442FEBA" w14:textId="7290F435" w:rsidR="004063D1" w:rsidRDefault="00740073" w:rsidP="002266B4">
      <w:pPr>
        <w:tabs>
          <w:tab w:val="left" w:pos="851"/>
        </w:tabs>
        <w:autoSpaceDE w:val="0"/>
        <w:autoSpaceDN w:val="0"/>
        <w:adjustRightInd w:val="0"/>
        <w:spacing w:after="240" w:line="360" w:lineRule="exact"/>
        <w:rPr>
          <w:rFonts w:ascii="Georgia" w:hAnsi="Georgia" w:cs="Arial"/>
          <w:bCs/>
          <w:iCs/>
          <w:color w:val="1F497D" w:themeColor="text2"/>
          <w:sz w:val="28"/>
          <w:szCs w:val="28"/>
        </w:rPr>
      </w:pPr>
      <w:r w:rsidRPr="00E80E11">
        <w:rPr>
          <w:rFonts w:ascii="Georgia" w:hAnsi="Georgia" w:cs="Arial"/>
          <w:bCs/>
          <w:iCs/>
          <w:color w:val="1F497D" w:themeColor="text2"/>
          <w:sz w:val="28"/>
          <w:szCs w:val="28"/>
        </w:rPr>
        <w:t>Le</w:t>
      </w:r>
      <w:r w:rsidRPr="00C92BA1">
        <w:rPr>
          <w:rFonts w:ascii="Georgia" w:hAnsi="Georgia" w:cs="Arial"/>
          <w:b/>
          <w:bCs/>
          <w:iCs/>
          <w:color w:val="1F497D" w:themeColor="text2"/>
          <w:sz w:val="28"/>
          <w:szCs w:val="28"/>
        </w:rPr>
        <w:t xml:space="preserve"> iscrizioni anagrafiche dall’estero (immigrazioni) </w:t>
      </w:r>
      <w:r w:rsidR="00B46F15" w:rsidRPr="00C3204A">
        <w:rPr>
          <w:rFonts w:ascii="Georgia" w:hAnsi="Georgia" w:cs="Arial"/>
          <w:iCs/>
          <w:color w:val="1F497D" w:themeColor="text2"/>
          <w:sz w:val="28"/>
          <w:szCs w:val="28"/>
        </w:rPr>
        <w:t xml:space="preserve">sono </w:t>
      </w:r>
      <w:r w:rsidR="002A5E03">
        <w:rPr>
          <w:rFonts w:ascii="Georgia" w:hAnsi="Georgia" w:cs="Arial"/>
          <w:bCs/>
          <w:iCs/>
          <w:color w:val="1F497D" w:themeColor="text2"/>
          <w:sz w:val="28"/>
          <w:szCs w:val="28"/>
        </w:rPr>
        <w:t>circa</w:t>
      </w:r>
      <w:r w:rsidRPr="00F64517">
        <w:rPr>
          <w:rFonts w:ascii="Georgia" w:hAnsi="Georgia" w:cs="Arial"/>
          <w:bCs/>
          <w:iCs/>
          <w:color w:val="1F497D" w:themeColor="text2"/>
          <w:sz w:val="28"/>
          <w:szCs w:val="28"/>
        </w:rPr>
        <w:t xml:space="preserve"> 3</w:t>
      </w:r>
      <w:r w:rsidR="002A5E03">
        <w:rPr>
          <w:rFonts w:ascii="Georgia" w:hAnsi="Georgia" w:cs="Arial"/>
          <w:bCs/>
          <w:iCs/>
          <w:color w:val="1F497D" w:themeColor="text2"/>
          <w:sz w:val="28"/>
          <w:szCs w:val="28"/>
        </w:rPr>
        <w:t>32</w:t>
      </w:r>
      <w:r w:rsidRPr="00F64517">
        <w:rPr>
          <w:rFonts w:ascii="Georgia" w:hAnsi="Georgia" w:cs="Arial"/>
          <w:bCs/>
          <w:iCs/>
          <w:color w:val="1F497D" w:themeColor="text2"/>
          <w:sz w:val="28"/>
          <w:szCs w:val="28"/>
        </w:rPr>
        <w:t xml:space="preserve"> mila, </w:t>
      </w:r>
      <w:r w:rsidR="002A5E03">
        <w:rPr>
          <w:rFonts w:ascii="Georgia" w:hAnsi="Georgia" w:cs="Arial"/>
          <w:bCs/>
          <w:iCs/>
          <w:color w:val="1F497D" w:themeColor="text2"/>
          <w:sz w:val="28"/>
          <w:szCs w:val="28"/>
        </w:rPr>
        <w:t>per la prima</w:t>
      </w:r>
      <w:r w:rsidR="008919FF">
        <w:rPr>
          <w:rFonts w:ascii="Georgia" w:hAnsi="Georgia" w:cs="Arial"/>
          <w:bCs/>
          <w:iCs/>
          <w:color w:val="1F497D" w:themeColor="text2"/>
          <w:sz w:val="28"/>
          <w:szCs w:val="28"/>
        </w:rPr>
        <w:t xml:space="preserve"> volta</w:t>
      </w:r>
      <w:r w:rsidR="002A5E03">
        <w:rPr>
          <w:rFonts w:ascii="Georgia" w:hAnsi="Georgia" w:cs="Arial"/>
          <w:bCs/>
          <w:iCs/>
          <w:color w:val="1F497D" w:themeColor="text2"/>
          <w:sz w:val="28"/>
          <w:szCs w:val="28"/>
        </w:rPr>
        <w:t xml:space="preserve"> </w:t>
      </w:r>
      <w:r w:rsidR="009B741F" w:rsidRPr="00F64517">
        <w:rPr>
          <w:rFonts w:ascii="Georgia" w:hAnsi="Georgia" w:cs="Arial"/>
          <w:bCs/>
          <w:iCs/>
          <w:color w:val="1F497D" w:themeColor="text2"/>
          <w:sz w:val="28"/>
          <w:szCs w:val="28"/>
        </w:rPr>
        <w:t xml:space="preserve">in </w:t>
      </w:r>
      <w:r w:rsidR="009B741F">
        <w:rPr>
          <w:rFonts w:ascii="Georgia" w:hAnsi="Georgia" w:cs="Arial"/>
          <w:bCs/>
          <w:iCs/>
          <w:color w:val="1F497D" w:themeColor="text2"/>
          <w:sz w:val="28"/>
          <w:szCs w:val="28"/>
        </w:rPr>
        <w:t>calo</w:t>
      </w:r>
      <w:r w:rsidR="009B741F" w:rsidRPr="00F64517">
        <w:rPr>
          <w:rFonts w:ascii="Georgia" w:hAnsi="Georgia" w:cs="Arial"/>
          <w:bCs/>
          <w:iCs/>
          <w:color w:val="1F497D" w:themeColor="text2"/>
          <w:sz w:val="28"/>
          <w:szCs w:val="28"/>
        </w:rPr>
        <w:t xml:space="preserve"> </w:t>
      </w:r>
      <w:r w:rsidR="009B741F">
        <w:rPr>
          <w:rFonts w:ascii="Georgia" w:hAnsi="Georgia" w:cs="Arial"/>
          <w:bCs/>
          <w:iCs/>
          <w:color w:val="1F497D" w:themeColor="text2"/>
          <w:sz w:val="28"/>
          <w:szCs w:val="28"/>
        </w:rPr>
        <w:t>rispetto all’anno precedente (-3,2</w:t>
      </w:r>
      <w:r w:rsidR="009B741F" w:rsidRPr="00F64517">
        <w:rPr>
          <w:rFonts w:ascii="Georgia" w:hAnsi="Georgia" w:cs="Arial"/>
          <w:bCs/>
          <w:iCs/>
          <w:color w:val="1F497D" w:themeColor="text2"/>
          <w:sz w:val="28"/>
          <w:szCs w:val="28"/>
        </w:rPr>
        <w:t>%)</w:t>
      </w:r>
      <w:r w:rsidR="009B741F">
        <w:rPr>
          <w:rFonts w:ascii="Georgia" w:hAnsi="Georgia" w:cs="Arial"/>
          <w:bCs/>
          <w:iCs/>
          <w:color w:val="1F497D" w:themeColor="text2"/>
          <w:sz w:val="28"/>
          <w:szCs w:val="28"/>
        </w:rPr>
        <w:t xml:space="preserve"> </w:t>
      </w:r>
      <w:r w:rsidR="00686AFD">
        <w:rPr>
          <w:rFonts w:ascii="Georgia" w:hAnsi="Georgia" w:cs="Arial"/>
          <w:bCs/>
          <w:iCs/>
          <w:color w:val="1F497D" w:themeColor="text2"/>
          <w:sz w:val="28"/>
          <w:szCs w:val="28"/>
        </w:rPr>
        <w:t xml:space="preserve">dopo i costanti incrementi registrati </w:t>
      </w:r>
      <w:r w:rsidR="004D22B4">
        <w:rPr>
          <w:rFonts w:ascii="Georgia" w:hAnsi="Georgia" w:cs="Arial"/>
          <w:bCs/>
          <w:iCs/>
          <w:color w:val="1F497D" w:themeColor="text2"/>
          <w:sz w:val="28"/>
          <w:szCs w:val="28"/>
        </w:rPr>
        <w:t xml:space="preserve">tra </w:t>
      </w:r>
      <w:r w:rsidR="00686AFD">
        <w:rPr>
          <w:rFonts w:ascii="Georgia" w:hAnsi="Georgia" w:cs="Arial"/>
          <w:bCs/>
          <w:iCs/>
          <w:color w:val="1F497D" w:themeColor="text2"/>
          <w:sz w:val="28"/>
          <w:szCs w:val="28"/>
        </w:rPr>
        <w:t xml:space="preserve">2014 </w:t>
      </w:r>
      <w:r w:rsidR="004D22B4">
        <w:rPr>
          <w:rFonts w:ascii="Georgia" w:hAnsi="Georgia" w:cs="Arial"/>
          <w:bCs/>
          <w:iCs/>
          <w:color w:val="1F497D" w:themeColor="text2"/>
          <w:sz w:val="28"/>
          <w:szCs w:val="28"/>
        </w:rPr>
        <w:t xml:space="preserve">e </w:t>
      </w:r>
      <w:r w:rsidR="00686AFD">
        <w:rPr>
          <w:rFonts w:ascii="Georgia" w:hAnsi="Georgia" w:cs="Arial"/>
          <w:bCs/>
          <w:iCs/>
          <w:color w:val="1F497D" w:themeColor="text2"/>
          <w:sz w:val="28"/>
          <w:szCs w:val="28"/>
        </w:rPr>
        <w:t>2017</w:t>
      </w:r>
      <w:r w:rsidRPr="00F64517">
        <w:rPr>
          <w:rFonts w:ascii="Georgia" w:hAnsi="Georgia" w:cs="Arial"/>
          <w:bCs/>
          <w:iCs/>
          <w:color w:val="1F497D" w:themeColor="text2"/>
          <w:sz w:val="28"/>
          <w:szCs w:val="28"/>
        </w:rPr>
        <w:t xml:space="preserve">. </w:t>
      </w:r>
      <w:r w:rsidR="004D22B4">
        <w:rPr>
          <w:rFonts w:ascii="Georgia" w:hAnsi="Georgia" w:cs="Arial"/>
          <w:bCs/>
          <w:iCs/>
          <w:color w:val="1F497D" w:themeColor="text2"/>
          <w:sz w:val="28"/>
          <w:szCs w:val="28"/>
        </w:rPr>
        <w:t>P</w:t>
      </w:r>
      <w:r w:rsidRPr="00F64517">
        <w:rPr>
          <w:rFonts w:ascii="Georgia" w:hAnsi="Georgia" w:cs="Arial"/>
          <w:bCs/>
          <w:iCs/>
          <w:color w:val="1F497D" w:themeColor="text2"/>
          <w:sz w:val="28"/>
          <w:szCs w:val="28"/>
        </w:rPr>
        <w:t xml:space="preserve">iù di </w:t>
      </w:r>
      <w:r w:rsidR="002A5E03">
        <w:rPr>
          <w:rFonts w:ascii="Georgia" w:hAnsi="Georgia" w:cs="Arial"/>
          <w:bCs/>
          <w:iCs/>
          <w:color w:val="1F497D" w:themeColor="text2"/>
          <w:sz w:val="28"/>
          <w:szCs w:val="28"/>
        </w:rPr>
        <w:t>cinque su sei</w:t>
      </w:r>
      <w:r w:rsidRPr="00F64517">
        <w:rPr>
          <w:rFonts w:ascii="Georgia" w:hAnsi="Georgia" w:cs="Arial"/>
          <w:bCs/>
          <w:iCs/>
          <w:color w:val="1F497D" w:themeColor="text2"/>
          <w:sz w:val="28"/>
          <w:szCs w:val="28"/>
        </w:rPr>
        <w:t xml:space="preserve"> </w:t>
      </w:r>
      <w:r w:rsidR="009B741F">
        <w:rPr>
          <w:rFonts w:ascii="Georgia" w:hAnsi="Georgia" w:cs="Arial"/>
          <w:bCs/>
          <w:iCs/>
          <w:color w:val="1F497D" w:themeColor="text2"/>
          <w:sz w:val="28"/>
          <w:szCs w:val="28"/>
        </w:rPr>
        <w:t>riguardano</w:t>
      </w:r>
      <w:r w:rsidRPr="00F64517">
        <w:rPr>
          <w:rFonts w:ascii="Georgia" w:hAnsi="Georgia" w:cs="Arial"/>
          <w:bCs/>
          <w:iCs/>
          <w:color w:val="1F497D" w:themeColor="text2"/>
          <w:sz w:val="28"/>
          <w:szCs w:val="28"/>
        </w:rPr>
        <w:t xml:space="preserve"> cittadini stranieri (</w:t>
      </w:r>
      <w:r w:rsidR="00E80E11">
        <w:rPr>
          <w:rFonts w:ascii="Georgia" w:hAnsi="Georgia" w:cs="Arial"/>
          <w:bCs/>
          <w:iCs/>
          <w:color w:val="1F497D" w:themeColor="text2"/>
          <w:sz w:val="28"/>
          <w:szCs w:val="28"/>
        </w:rPr>
        <w:t>286</w:t>
      </w:r>
      <w:r w:rsidRPr="00F64517">
        <w:rPr>
          <w:rFonts w:ascii="Georgia" w:hAnsi="Georgia" w:cs="Arial"/>
          <w:bCs/>
          <w:iCs/>
          <w:color w:val="1F497D" w:themeColor="text2"/>
          <w:sz w:val="28"/>
          <w:szCs w:val="28"/>
        </w:rPr>
        <w:t xml:space="preserve"> mila, </w:t>
      </w:r>
      <w:r w:rsidR="00E80E11">
        <w:rPr>
          <w:rFonts w:ascii="Georgia" w:hAnsi="Georgia" w:cs="Arial"/>
          <w:bCs/>
          <w:iCs/>
          <w:color w:val="1F497D" w:themeColor="text2"/>
          <w:sz w:val="28"/>
          <w:szCs w:val="28"/>
        </w:rPr>
        <w:t>-5,2</w:t>
      </w:r>
      <w:r w:rsidRPr="00F64517">
        <w:rPr>
          <w:rFonts w:ascii="Georgia" w:hAnsi="Georgia" w:cs="Arial"/>
          <w:bCs/>
          <w:iCs/>
          <w:color w:val="1F497D" w:themeColor="text2"/>
          <w:sz w:val="28"/>
          <w:szCs w:val="28"/>
        </w:rPr>
        <w:t>%).</w:t>
      </w:r>
    </w:p>
    <w:p w14:paraId="7B962DE3" w14:textId="06915D4D" w:rsidR="008919FF" w:rsidRDefault="00E80E11" w:rsidP="004063D1">
      <w:pPr>
        <w:tabs>
          <w:tab w:val="left" w:pos="851"/>
        </w:tabs>
        <w:autoSpaceDE w:val="0"/>
        <w:autoSpaceDN w:val="0"/>
        <w:adjustRightInd w:val="0"/>
        <w:spacing w:line="360" w:lineRule="exact"/>
        <w:rPr>
          <w:rFonts w:ascii="Georgia" w:hAnsi="Georgia" w:cs="Arial"/>
          <w:bCs/>
          <w:iCs/>
          <w:color w:val="1F497D"/>
          <w:sz w:val="28"/>
          <w:szCs w:val="28"/>
        </w:rPr>
      </w:pPr>
      <w:r>
        <w:rPr>
          <w:rFonts w:ascii="Georgia" w:hAnsi="Georgia" w:cs="Arial"/>
          <w:bCs/>
          <w:iCs/>
          <w:color w:val="1F497D"/>
          <w:sz w:val="28"/>
          <w:szCs w:val="28"/>
        </w:rPr>
        <w:t>I</w:t>
      </w:r>
      <w:r w:rsidR="00740073" w:rsidRPr="00C92BA1">
        <w:rPr>
          <w:rFonts w:ascii="Georgia" w:hAnsi="Georgia" w:cs="Arial"/>
          <w:bCs/>
          <w:iCs/>
          <w:color w:val="1F497D"/>
          <w:sz w:val="28"/>
          <w:szCs w:val="28"/>
        </w:rPr>
        <w:t xml:space="preserve">l volume della </w:t>
      </w:r>
      <w:r w:rsidR="00740073" w:rsidRPr="00E80E11">
        <w:rPr>
          <w:rFonts w:ascii="Georgia" w:hAnsi="Georgia" w:cs="Arial"/>
          <w:b/>
          <w:bCs/>
          <w:iCs/>
          <w:color w:val="1F497D"/>
          <w:sz w:val="28"/>
          <w:szCs w:val="28"/>
        </w:rPr>
        <w:t>mobilità interna</w:t>
      </w:r>
      <w:r w:rsidR="00740073" w:rsidRPr="00C92BA1">
        <w:rPr>
          <w:rFonts w:ascii="Georgia" w:hAnsi="Georgia" w:cs="Arial"/>
          <w:bCs/>
          <w:iCs/>
          <w:color w:val="1F497D"/>
          <w:sz w:val="28"/>
          <w:szCs w:val="28"/>
        </w:rPr>
        <w:t xml:space="preserve"> totale è di 1 milione 3</w:t>
      </w:r>
      <w:r w:rsidR="008919FF">
        <w:rPr>
          <w:rFonts w:ascii="Georgia" w:hAnsi="Georgia" w:cs="Arial"/>
          <w:bCs/>
          <w:iCs/>
          <w:color w:val="1F497D"/>
          <w:sz w:val="28"/>
          <w:szCs w:val="28"/>
        </w:rPr>
        <w:t>58</w:t>
      </w:r>
      <w:r w:rsidR="00740073" w:rsidRPr="00C92BA1">
        <w:rPr>
          <w:rFonts w:ascii="Georgia" w:hAnsi="Georgia" w:cs="Arial"/>
          <w:bCs/>
          <w:iCs/>
          <w:color w:val="1F497D"/>
          <w:sz w:val="28"/>
          <w:szCs w:val="28"/>
        </w:rPr>
        <w:t xml:space="preserve"> mila trasferimenti</w:t>
      </w:r>
      <w:r w:rsidR="004D22B4">
        <w:rPr>
          <w:rFonts w:ascii="Georgia" w:hAnsi="Georgia" w:cs="Arial"/>
          <w:bCs/>
          <w:iCs/>
          <w:color w:val="1F497D"/>
          <w:sz w:val="28"/>
          <w:szCs w:val="28"/>
        </w:rPr>
        <w:t xml:space="preserve"> (</w:t>
      </w:r>
      <w:r w:rsidR="00740073" w:rsidRPr="00C92BA1">
        <w:rPr>
          <w:rFonts w:ascii="Georgia" w:hAnsi="Georgia" w:cs="Arial"/>
          <w:bCs/>
          <w:iCs/>
          <w:color w:val="1F497D"/>
          <w:sz w:val="28"/>
          <w:szCs w:val="28"/>
        </w:rPr>
        <w:t>+</w:t>
      </w:r>
      <w:r w:rsidR="008919FF">
        <w:rPr>
          <w:rFonts w:ascii="Georgia" w:hAnsi="Georgia" w:cs="Arial"/>
          <w:bCs/>
          <w:iCs/>
          <w:color w:val="1F497D"/>
          <w:sz w:val="28"/>
          <w:szCs w:val="28"/>
        </w:rPr>
        <w:t>1,8</w:t>
      </w:r>
      <w:r w:rsidR="00740073" w:rsidRPr="00C92BA1">
        <w:rPr>
          <w:rFonts w:ascii="Georgia" w:hAnsi="Georgia" w:cs="Arial"/>
          <w:bCs/>
          <w:iCs/>
          <w:color w:val="1F497D"/>
          <w:sz w:val="28"/>
          <w:szCs w:val="28"/>
        </w:rPr>
        <w:t xml:space="preserve">%). </w:t>
      </w:r>
    </w:p>
    <w:p w14:paraId="30EB10B1" w14:textId="77777777" w:rsidR="004D22B4" w:rsidRDefault="004D22B4" w:rsidP="004063D1">
      <w:pPr>
        <w:tabs>
          <w:tab w:val="left" w:pos="851"/>
        </w:tabs>
        <w:autoSpaceDE w:val="0"/>
        <w:autoSpaceDN w:val="0"/>
        <w:adjustRightInd w:val="0"/>
        <w:spacing w:line="360" w:lineRule="exact"/>
        <w:rPr>
          <w:rFonts w:ascii="Georgia" w:hAnsi="Georgia" w:cs="Arial"/>
          <w:bCs/>
          <w:iCs/>
          <w:color w:val="1F497D"/>
          <w:sz w:val="28"/>
          <w:szCs w:val="28"/>
        </w:rPr>
      </w:pPr>
    </w:p>
    <w:tbl>
      <w:tblPr>
        <w:tblStyle w:val="Grigliatabella"/>
        <w:tblW w:w="12020" w:type="dxa"/>
        <w:tblInd w:w="-85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4080"/>
        <w:gridCol w:w="3968"/>
        <w:gridCol w:w="3972"/>
      </w:tblGrid>
      <w:tr w:rsidR="007E6EAA" w14:paraId="65E65DEA" w14:textId="77777777" w:rsidTr="004B4A17">
        <w:trPr>
          <w:trHeight w:val="72"/>
        </w:trPr>
        <w:tc>
          <w:tcPr>
            <w:tcW w:w="12020" w:type="dxa"/>
            <w:gridSpan w:val="3"/>
            <w:shd w:val="clear" w:color="auto" w:fill="D9D9D9" w:themeFill="background1" w:themeFillShade="D9"/>
          </w:tcPr>
          <w:p w14:paraId="6E62F88E" w14:textId="77777777" w:rsidR="002266B4" w:rsidRPr="000C43AD" w:rsidRDefault="002266B4" w:rsidP="00D37ABF">
            <w:pPr>
              <w:tabs>
                <w:tab w:val="left" w:pos="1401"/>
                <w:tab w:val="left" w:pos="2295"/>
              </w:tabs>
              <w:autoSpaceDE w:val="0"/>
              <w:autoSpaceDN w:val="0"/>
              <w:adjustRightInd w:val="0"/>
              <w:rPr>
                <w:rFonts w:ascii="Georgia" w:hAnsi="Georgia" w:cs="Arial"/>
                <w:b/>
                <w:bCs/>
                <w:color w:val="1F497D" w:themeColor="text2"/>
                <w:sz w:val="16"/>
                <w:szCs w:val="16"/>
              </w:rPr>
            </w:pPr>
          </w:p>
        </w:tc>
      </w:tr>
      <w:tr w:rsidR="001A62B5" w:rsidRPr="001A62B5" w14:paraId="41E5A27E" w14:textId="77777777" w:rsidTr="00684E2E">
        <w:trPr>
          <w:trHeight w:val="3969"/>
        </w:trPr>
        <w:tc>
          <w:tcPr>
            <w:tcW w:w="4080" w:type="dxa"/>
            <w:tcBorders>
              <w:bottom w:val="nil"/>
            </w:tcBorders>
            <w:shd w:val="clear" w:color="auto" w:fill="D9D9D9" w:themeFill="background1" w:themeFillShade="D9"/>
          </w:tcPr>
          <w:p w14:paraId="51ADBD70" w14:textId="7599D34D" w:rsidR="00A2532B" w:rsidRPr="000C43AD" w:rsidRDefault="00D67A37" w:rsidP="00A2532B">
            <w:pPr>
              <w:tabs>
                <w:tab w:val="left" w:pos="459"/>
              </w:tabs>
              <w:autoSpaceDE w:val="0"/>
              <w:autoSpaceDN w:val="0"/>
              <w:adjustRightInd w:val="0"/>
              <w:ind w:left="459"/>
              <w:rPr>
                <w:rFonts w:ascii="Georgia" w:hAnsi="Georgia" w:cs="Arial"/>
                <w:bCs/>
                <w:color w:val="E42618"/>
                <w:sz w:val="72"/>
                <w:szCs w:val="88"/>
              </w:rPr>
            </w:pPr>
            <w:r w:rsidRPr="000C43AD">
              <w:rPr>
                <w:rFonts w:ascii="Georgia" w:hAnsi="Georgia" w:cs="Arial"/>
                <w:bCs/>
                <w:color w:val="E42618"/>
                <w:sz w:val="72"/>
                <w:szCs w:val="88"/>
              </w:rPr>
              <w:t>816</w:t>
            </w:r>
            <w:r w:rsidR="00FA4CEE" w:rsidRPr="000C43AD">
              <w:rPr>
                <w:rFonts w:ascii="Georgia" w:hAnsi="Georgia" w:cs="Arial"/>
                <w:bCs/>
                <w:color w:val="E42618"/>
                <w:sz w:val="72"/>
                <w:szCs w:val="88"/>
              </w:rPr>
              <w:t xml:space="preserve"> mila</w:t>
            </w:r>
          </w:p>
          <w:p w14:paraId="11494CF4" w14:textId="77777777" w:rsidR="00772A8C" w:rsidRPr="000C43AD" w:rsidRDefault="001A62B5" w:rsidP="00A2532B">
            <w:pPr>
              <w:tabs>
                <w:tab w:val="left" w:pos="317"/>
                <w:tab w:val="left" w:pos="459"/>
                <w:tab w:val="left" w:pos="1204"/>
              </w:tabs>
              <w:autoSpaceDE w:val="0"/>
              <w:autoSpaceDN w:val="0"/>
              <w:adjustRightInd w:val="0"/>
              <w:ind w:left="459"/>
              <w:rPr>
                <w:rFonts w:ascii="Georgia" w:hAnsi="Georgia" w:cs="Arial"/>
                <w:b/>
                <w:bCs/>
                <w:color w:val="244061" w:themeColor="accent1" w:themeShade="80"/>
                <w:sz w:val="22"/>
                <w:szCs w:val="22"/>
              </w:rPr>
            </w:pPr>
            <w:r w:rsidRPr="000C43AD">
              <w:rPr>
                <w:rFonts w:ascii="Georgia" w:hAnsi="Georgia" w:cs="Arial"/>
                <w:b/>
                <w:bCs/>
                <w:color w:val="244061" w:themeColor="accent1" w:themeShade="80"/>
                <w:sz w:val="22"/>
                <w:szCs w:val="22"/>
              </w:rPr>
              <w:tab/>
            </w:r>
          </w:p>
          <w:p w14:paraId="4419E942" w14:textId="77777777" w:rsidR="00C9220D" w:rsidRPr="000C43AD" w:rsidRDefault="00C9220D" w:rsidP="00A2532B">
            <w:pPr>
              <w:tabs>
                <w:tab w:val="left" w:pos="317"/>
                <w:tab w:val="left" w:pos="459"/>
                <w:tab w:val="left" w:pos="1204"/>
              </w:tabs>
              <w:autoSpaceDE w:val="0"/>
              <w:autoSpaceDN w:val="0"/>
              <w:adjustRightInd w:val="0"/>
              <w:ind w:left="459"/>
              <w:rPr>
                <w:rFonts w:ascii="Georgia" w:hAnsi="Georgia" w:cs="Arial"/>
                <w:b/>
                <w:bCs/>
                <w:color w:val="244061" w:themeColor="accent1" w:themeShade="80"/>
                <w:sz w:val="22"/>
                <w:szCs w:val="22"/>
              </w:rPr>
            </w:pPr>
          </w:p>
          <w:p w14:paraId="5A1DAFAE" w14:textId="77777777" w:rsidR="000C43AD" w:rsidRDefault="00803E80" w:rsidP="00A2532B">
            <w:pPr>
              <w:tabs>
                <w:tab w:val="left" w:pos="459"/>
              </w:tabs>
              <w:autoSpaceDE w:val="0"/>
              <w:autoSpaceDN w:val="0"/>
              <w:adjustRightInd w:val="0"/>
              <w:ind w:left="459"/>
              <w:rPr>
                <w:rFonts w:ascii="Georgia" w:hAnsi="Georgia" w:cs="Arial"/>
                <w:b/>
                <w:bCs/>
                <w:color w:val="E42618"/>
                <w:sz w:val="26"/>
                <w:szCs w:val="26"/>
              </w:rPr>
            </w:pPr>
            <w:r w:rsidRPr="000C43AD">
              <w:rPr>
                <w:rFonts w:ascii="Georgia" w:hAnsi="Georgia" w:cs="Arial"/>
                <w:b/>
                <w:bCs/>
                <w:color w:val="E42618"/>
                <w:sz w:val="26"/>
                <w:szCs w:val="26"/>
              </w:rPr>
              <w:t xml:space="preserve">Il numero di italiani trasferiti all’estero negli ultimi </w:t>
            </w:r>
            <w:r w:rsidR="00D67A37" w:rsidRPr="000C43AD">
              <w:rPr>
                <w:rFonts w:ascii="Georgia" w:hAnsi="Georgia" w:cs="Arial"/>
                <w:b/>
                <w:bCs/>
                <w:color w:val="E42618"/>
                <w:sz w:val="26"/>
                <w:szCs w:val="26"/>
              </w:rPr>
              <w:t>10</w:t>
            </w:r>
            <w:r w:rsidR="000C43AD">
              <w:rPr>
                <w:rFonts w:ascii="Georgia" w:hAnsi="Georgia" w:cs="Arial"/>
                <w:b/>
                <w:bCs/>
                <w:color w:val="E42618"/>
                <w:sz w:val="26"/>
                <w:szCs w:val="26"/>
              </w:rPr>
              <w:t xml:space="preserve"> anni</w:t>
            </w:r>
          </w:p>
          <w:p w14:paraId="428C2117" w14:textId="77777777" w:rsidR="004C07FC" w:rsidRPr="000C43AD" w:rsidRDefault="004C07FC" w:rsidP="008F0286">
            <w:pPr>
              <w:tabs>
                <w:tab w:val="left" w:pos="459"/>
              </w:tabs>
              <w:autoSpaceDE w:val="0"/>
              <w:autoSpaceDN w:val="0"/>
              <w:adjustRightInd w:val="0"/>
              <w:rPr>
                <w:rFonts w:ascii="Georgia" w:hAnsi="Georgia" w:cs="Arial"/>
                <w:b/>
                <w:bCs/>
                <w:color w:val="E42618"/>
                <w:sz w:val="26"/>
                <w:szCs w:val="26"/>
              </w:rPr>
            </w:pPr>
          </w:p>
          <w:p w14:paraId="14DE44ED" w14:textId="2716ECD3" w:rsidR="007E6EAA" w:rsidRPr="000C43AD" w:rsidRDefault="004D22B4">
            <w:pPr>
              <w:tabs>
                <w:tab w:val="left" w:pos="435"/>
              </w:tabs>
              <w:autoSpaceDE w:val="0"/>
              <w:autoSpaceDN w:val="0"/>
              <w:adjustRightInd w:val="0"/>
              <w:ind w:left="435"/>
              <w:rPr>
                <w:rFonts w:ascii="Arial Narrow" w:hAnsi="Arial Narrow" w:cs="Arial"/>
                <w:bCs/>
                <w:color w:val="1F497D" w:themeColor="text2"/>
              </w:rPr>
            </w:pPr>
            <w:r>
              <w:rPr>
                <w:rFonts w:ascii="Arial Narrow" w:hAnsi="Arial Narrow" w:cs="Arial"/>
                <w:bCs/>
                <w:color w:val="1F497D" w:themeColor="text2"/>
              </w:rPr>
              <w:t>O</w:t>
            </w:r>
            <w:r w:rsidR="000C43AD" w:rsidRPr="000C43AD">
              <w:rPr>
                <w:rFonts w:ascii="Arial Narrow" w:hAnsi="Arial Narrow" w:cs="Arial"/>
                <w:bCs/>
                <w:color w:val="1F497D" w:themeColor="text2"/>
              </w:rPr>
              <w:t xml:space="preserve">ltre il 73% </w:t>
            </w:r>
            <w:r>
              <w:rPr>
                <w:rFonts w:ascii="Arial Narrow" w:hAnsi="Arial Narrow" w:cs="Arial"/>
                <w:bCs/>
                <w:color w:val="1F497D" w:themeColor="text2"/>
              </w:rPr>
              <w:t xml:space="preserve">ha </w:t>
            </w:r>
            <w:r w:rsidR="000C43AD">
              <w:rPr>
                <w:rFonts w:ascii="Arial Narrow" w:hAnsi="Arial Narrow" w:cs="Arial"/>
                <w:bCs/>
                <w:color w:val="1F497D" w:themeColor="text2"/>
              </w:rPr>
              <w:t>25 anni e più</w:t>
            </w:r>
            <w:r w:rsidR="00B46F15">
              <w:rPr>
                <w:rFonts w:ascii="Arial Narrow" w:hAnsi="Arial Narrow" w:cs="Arial"/>
                <w:bCs/>
                <w:color w:val="1F497D" w:themeColor="text2"/>
              </w:rPr>
              <w:t>;</w:t>
            </w:r>
            <w:r w:rsidR="000C43AD">
              <w:rPr>
                <w:rFonts w:ascii="Arial Narrow" w:hAnsi="Arial Narrow" w:cs="Arial"/>
                <w:bCs/>
                <w:color w:val="1F497D" w:themeColor="text2"/>
              </w:rPr>
              <w:t xml:space="preserve"> di questi, </w:t>
            </w:r>
            <w:r w:rsidR="007E6A9D" w:rsidRPr="000C43AD">
              <w:rPr>
                <w:rFonts w:ascii="Arial Narrow" w:hAnsi="Arial Narrow" w:cs="Arial"/>
                <w:bCs/>
                <w:color w:val="1F497D" w:themeColor="text2"/>
              </w:rPr>
              <w:t>quasi t</w:t>
            </w:r>
            <w:r w:rsidR="00AB421B" w:rsidRPr="000C43AD">
              <w:rPr>
                <w:rFonts w:ascii="Arial Narrow" w:hAnsi="Arial Narrow" w:cs="Arial"/>
                <w:bCs/>
                <w:color w:val="1F497D" w:themeColor="text2"/>
              </w:rPr>
              <w:t xml:space="preserve">re su </w:t>
            </w:r>
            <w:r w:rsidR="007E6A9D" w:rsidRPr="000C43AD">
              <w:rPr>
                <w:rFonts w:ascii="Arial Narrow" w:hAnsi="Arial Narrow" w:cs="Arial"/>
                <w:bCs/>
                <w:color w:val="1F497D" w:themeColor="text2"/>
              </w:rPr>
              <w:t xml:space="preserve">quattro </w:t>
            </w:r>
            <w:r w:rsidR="002266B4" w:rsidRPr="000C43AD">
              <w:rPr>
                <w:rFonts w:ascii="Arial Narrow" w:hAnsi="Arial Narrow" w:cs="Arial"/>
                <w:bCs/>
                <w:color w:val="1F497D" w:themeColor="text2"/>
              </w:rPr>
              <w:t>ha</w:t>
            </w:r>
            <w:r w:rsidR="00AB421B" w:rsidRPr="000C43AD">
              <w:rPr>
                <w:rFonts w:ascii="Arial Narrow" w:hAnsi="Arial Narrow" w:cs="Arial"/>
                <w:bCs/>
                <w:color w:val="1F497D" w:themeColor="text2"/>
              </w:rPr>
              <w:t>nno</w:t>
            </w:r>
            <w:r w:rsidR="00D67A37" w:rsidRPr="000C43AD">
              <w:rPr>
                <w:rFonts w:ascii="Arial Narrow" w:hAnsi="Arial Narrow" w:cs="Arial"/>
                <w:bCs/>
                <w:color w:val="1F497D" w:themeColor="text2"/>
              </w:rPr>
              <w:t xml:space="preserve"> un livello di istruzione </w:t>
            </w:r>
            <w:r w:rsidR="000C43AD">
              <w:rPr>
                <w:rFonts w:ascii="Arial Narrow" w:hAnsi="Arial Narrow" w:cs="Arial"/>
                <w:bCs/>
                <w:color w:val="1F497D" w:themeColor="text2"/>
              </w:rPr>
              <w:t>medio-</w:t>
            </w:r>
            <w:r w:rsidR="00D67A37" w:rsidRPr="000C43AD">
              <w:rPr>
                <w:rFonts w:ascii="Arial Narrow" w:hAnsi="Arial Narrow" w:cs="Arial"/>
                <w:bCs/>
                <w:color w:val="1F497D" w:themeColor="text2"/>
              </w:rPr>
              <w:t>al</w:t>
            </w:r>
            <w:r w:rsidR="002266B4" w:rsidRPr="000C43AD">
              <w:rPr>
                <w:rFonts w:ascii="Arial Narrow" w:hAnsi="Arial Narrow" w:cs="Arial"/>
                <w:bCs/>
                <w:color w:val="1F497D" w:themeColor="text2"/>
              </w:rPr>
              <w:t>to.</w:t>
            </w:r>
          </w:p>
        </w:tc>
        <w:tc>
          <w:tcPr>
            <w:tcW w:w="3968" w:type="dxa"/>
            <w:tcBorders>
              <w:bottom w:val="nil"/>
            </w:tcBorders>
            <w:shd w:val="clear" w:color="auto" w:fill="D9D9D9" w:themeFill="background1" w:themeFillShade="D9"/>
          </w:tcPr>
          <w:p w14:paraId="2E06FC35" w14:textId="1A937668" w:rsidR="00772A8C" w:rsidRPr="00CE0B08" w:rsidRDefault="005D4C24" w:rsidP="001A62B5">
            <w:pPr>
              <w:tabs>
                <w:tab w:val="left" w:pos="311"/>
              </w:tabs>
              <w:autoSpaceDE w:val="0"/>
              <w:autoSpaceDN w:val="0"/>
              <w:adjustRightInd w:val="0"/>
              <w:ind w:left="35"/>
              <w:rPr>
                <w:rFonts w:ascii="Georgia" w:hAnsi="Georgia" w:cs="Arial"/>
                <w:b/>
                <w:bCs/>
                <w:color w:val="E42618"/>
                <w:sz w:val="26"/>
                <w:szCs w:val="26"/>
              </w:rPr>
            </w:pPr>
            <w:r>
              <w:rPr>
                <w:rFonts w:ascii="Georgia" w:hAnsi="Georgia" w:cs="Arial"/>
                <w:bCs/>
                <w:color w:val="1F497D" w:themeColor="text2"/>
                <w:sz w:val="88"/>
                <w:szCs w:val="88"/>
              </w:rPr>
              <w:t>-17%</w:t>
            </w:r>
          </w:p>
          <w:p w14:paraId="5D065B5D" w14:textId="77777777" w:rsidR="00560372" w:rsidRPr="00CE0B08" w:rsidRDefault="00560372" w:rsidP="000F440B">
            <w:pPr>
              <w:tabs>
                <w:tab w:val="left" w:pos="851"/>
              </w:tabs>
              <w:autoSpaceDE w:val="0"/>
              <w:autoSpaceDN w:val="0"/>
              <w:adjustRightInd w:val="0"/>
              <w:ind w:left="143"/>
              <w:rPr>
                <w:rFonts w:ascii="Georgia" w:hAnsi="Georgia" w:cs="Arial"/>
                <w:b/>
                <w:bCs/>
                <w:color w:val="1F497D" w:themeColor="text2"/>
                <w:sz w:val="26"/>
                <w:szCs w:val="26"/>
              </w:rPr>
            </w:pPr>
          </w:p>
          <w:p w14:paraId="57EBDE05" w14:textId="4A69D3DF" w:rsidR="00803E80" w:rsidRDefault="005D4C24" w:rsidP="00DC0D60">
            <w:pPr>
              <w:tabs>
                <w:tab w:val="left" w:pos="0"/>
              </w:tabs>
              <w:autoSpaceDE w:val="0"/>
              <w:autoSpaceDN w:val="0"/>
              <w:adjustRightInd w:val="0"/>
              <w:ind w:left="143"/>
              <w:rPr>
                <w:rFonts w:ascii="Georgia" w:hAnsi="Georgia" w:cs="Arial"/>
                <w:b/>
                <w:bCs/>
                <w:color w:val="1F497D" w:themeColor="text2"/>
                <w:sz w:val="26"/>
                <w:szCs w:val="26"/>
              </w:rPr>
            </w:pPr>
            <w:r>
              <w:rPr>
                <w:rFonts w:ascii="Georgia" w:hAnsi="Georgia" w:cs="Arial"/>
                <w:b/>
                <w:bCs/>
                <w:color w:val="1F497D" w:themeColor="text2"/>
                <w:sz w:val="26"/>
                <w:szCs w:val="26"/>
              </w:rPr>
              <w:t>Il calo di</w:t>
            </w:r>
            <w:r w:rsidR="00CE0B08" w:rsidRPr="00CE0B08">
              <w:rPr>
                <w:rFonts w:ascii="Georgia" w:hAnsi="Georgia" w:cs="Arial"/>
                <w:b/>
                <w:bCs/>
                <w:color w:val="1F497D" w:themeColor="text2"/>
                <w:sz w:val="26"/>
                <w:szCs w:val="26"/>
              </w:rPr>
              <w:t xml:space="preserve"> </w:t>
            </w:r>
            <w:r w:rsidR="00803E80">
              <w:rPr>
                <w:rFonts w:ascii="Georgia" w:hAnsi="Georgia" w:cs="Arial"/>
                <w:b/>
                <w:bCs/>
                <w:color w:val="1F497D" w:themeColor="text2"/>
                <w:sz w:val="26"/>
                <w:szCs w:val="26"/>
              </w:rPr>
              <w:t>immigrati provenienti dal continente africano</w:t>
            </w:r>
            <w:r w:rsidR="00264F5E">
              <w:rPr>
                <w:rFonts w:ascii="Georgia" w:hAnsi="Georgia" w:cs="Arial"/>
                <w:b/>
                <w:bCs/>
                <w:color w:val="1F497D" w:themeColor="text2"/>
                <w:sz w:val="26"/>
                <w:szCs w:val="26"/>
              </w:rPr>
              <w:t xml:space="preserve"> nel 2018</w:t>
            </w:r>
          </w:p>
          <w:p w14:paraId="0EB13A7D" w14:textId="54E630E0" w:rsidR="00264F5E" w:rsidRDefault="00264F5E" w:rsidP="00DC0D60">
            <w:pPr>
              <w:tabs>
                <w:tab w:val="left" w:pos="0"/>
              </w:tabs>
              <w:autoSpaceDE w:val="0"/>
              <w:autoSpaceDN w:val="0"/>
              <w:adjustRightInd w:val="0"/>
              <w:ind w:left="143"/>
              <w:rPr>
                <w:rFonts w:ascii="Georgia" w:hAnsi="Georgia" w:cs="Arial"/>
                <w:b/>
                <w:bCs/>
                <w:color w:val="1F497D" w:themeColor="text2"/>
                <w:sz w:val="26"/>
                <w:szCs w:val="26"/>
              </w:rPr>
            </w:pPr>
          </w:p>
          <w:p w14:paraId="401D8AA0" w14:textId="37A0F50E" w:rsidR="007E6EAA" w:rsidRPr="001A62B5" w:rsidRDefault="007E6EAA">
            <w:pPr>
              <w:tabs>
                <w:tab w:val="left" w:pos="0"/>
              </w:tabs>
              <w:autoSpaceDE w:val="0"/>
              <w:autoSpaceDN w:val="0"/>
              <w:adjustRightInd w:val="0"/>
              <w:ind w:left="143"/>
              <w:rPr>
                <w:rFonts w:ascii="Georgia" w:hAnsi="Georgia" w:cs="Arial"/>
                <w:b/>
                <w:bCs/>
                <w:color w:val="244061" w:themeColor="accent1" w:themeShade="80"/>
                <w:sz w:val="28"/>
                <w:szCs w:val="28"/>
              </w:rPr>
            </w:pPr>
          </w:p>
        </w:tc>
        <w:tc>
          <w:tcPr>
            <w:tcW w:w="3972" w:type="dxa"/>
            <w:tcBorders>
              <w:bottom w:val="nil"/>
            </w:tcBorders>
            <w:shd w:val="clear" w:color="auto" w:fill="D9D9D9" w:themeFill="background1" w:themeFillShade="D9"/>
            <w:tcMar>
              <w:left w:w="284" w:type="dxa"/>
              <w:right w:w="284" w:type="dxa"/>
            </w:tcMar>
          </w:tcPr>
          <w:p w14:paraId="485C0553" w14:textId="77777777" w:rsidR="00AB421B" w:rsidRDefault="00803E80" w:rsidP="00A2532B">
            <w:pPr>
              <w:tabs>
                <w:tab w:val="left" w:pos="851"/>
                <w:tab w:val="left" w:pos="2575"/>
              </w:tabs>
              <w:autoSpaceDE w:val="0"/>
              <w:autoSpaceDN w:val="0"/>
              <w:adjustRightInd w:val="0"/>
              <w:ind w:right="570"/>
              <w:rPr>
                <w:rFonts w:ascii="Georgia" w:hAnsi="Georgia" w:cs="Arial"/>
                <w:bCs/>
                <w:color w:val="E42618"/>
                <w:sz w:val="72"/>
                <w:szCs w:val="72"/>
              </w:rPr>
            </w:pPr>
            <w:r w:rsidRPr="00AB421B">
              <w:rPr>
                <w:rFonts w:ascii="Georgia" w:hAnsi="Georgia" w:cs="Arial"/>
                <w:bCs/>
                <w:color w:val="E42618"/>
                <w:sz w:val="72"/>
                <w:szCs w:val="72"/>
              </w:rPr>
              <w:t>1</w:t>
            </w:r>
            <w:r w:rsidR="00AB421B" w:rsidRPr="00AB421B">
              <w:rPr>
                <w:rFonts w:ascii="Georgia" w:hAnsi="Georgia" w:cs="Arial"/>
                <w:bCs/>
                <w:color w:val="E42618"/>
                <w:sz w:val="72"/>
                <w:szCs w:val="72"/>
              </w:rPr>
              <w:t>17 mila</w:t>
            </w:r>
          </w:p>
          <w:p w14:paraId="0D451BE5" w14:textId="77777777" w:rsidR="00AB421B" w:rsidRDefault="00AB421B" w:rsidP="00A2532B">
            <w:pPr>
              <w:tabs>
                <w:tab w:val="left" w:pos="851"/>
                <w:tab w:val="left" w:pos="2575"/>
              </w:tabs>
              <w:autoSpaceDE w:val="0"/>
              <w:autoSpaceDN w:val="0"/>
              <w:adjustRightInd w:val="0"/>
              <w:ind w:right="570"/>
              <w:rPr>
                <w:rFonts w:ascii="Georgia" w:hAnsi="Georgia" w:cs="Arial"/>
                <w:b/>
                <w:bCs/>
                <w:color w:val="E42618"/>
                <w:sz w:val="26"/>
                <w:szCs w:val="26"/>
              </w:rPr>
            </w:pPr>
          </w:p>
          <w:p w14:paraId="2F4BD265" w14:textId="404DC045" w:rsidR="00A2532B" w:rsidRDefault="00AB421B" w:rsidP="00A2532B">
            <w:pPr>
              <w:tabs>
                <w:tab w:val="left" w:pos="851"/>
                <w:tab w:val="left" w:pos="2575"/>
              </w:tabs>
              <w:autoSpaceDE w:val="0"/>
              <w:autoSpaceDN w:val="0"/>
              <w:adjustRightInd w:val="0"/>
              <w:ind w:right="570"/>
              <w:rPr>
                <w:rFonts w:ascii="Georgia" w:hAnsi="Georgia" w:cs="Arial"/>
                <w:b/>
                <w:bCs/>
                <w:color w:val="E42618"/>
                <w:sz w:val="26"/>
                <w:szCs w:val="26"/>
              </w:rPr>
            </w:pPr>
            <w:r>
              <w:rPr>
                <w:rFonts w:ascii="Georgia" w:hAnsi="Georgia" w:cs="Arial"/>
                <w:b/>
                <w:bCs/>
                <w:color w:val="E42618"/>
                <w:sz w:val="26"/>
                <w:szCs w:val="26"/>
              </w:rPr>
              <w:t xml:space="preserve">Sono i </w:t>
            </w:r>
            <w:r w:rsidR="009B741F">
              <w:rPr>
                <w:rFonts w:ascii="Georgia" w:hAnsi="Georgia" w:cs="Arial"/>
                <w:b/>
                <w:bCs/>
                <w:color w:val="E42618"/>
                <w:sz w:val="26"/>
                <w:szCs w:val="26"/>
              </w:rPr>
              <w:t xml:space="preserve">trasferimenti </w:t>
            </w:r>
            <w:r>
              <w:rPr>
                <w:rFonts w:ascii="Georgia" w:hAnsi="Georgia" w:cs="Arial"/>
                <w:b/>
                <w:bCs/>
                <w:color w:val="E42618"/>
                <w:sz w:val="26"/>
                <w:szCs w:val="26"/>
              </w:rPr>
              <w:t>di residenza dal Mezzogiorno al Centro-nord</w:t>
            </w:r>
            <w:r w:rsidR="003448F9">
              <w:rPr>
                <w:rFonts w:ascii="Georgia" w:hAnsi="Georgia" w:cs="Arial"/>
                <w:b/>
                <w:bCs/>
                <w:color w:val="E42618"/>
                <w:sz w:val="26"/>
                <w:szCs w:val="26"/>
              </w:rPr>
              <w:t xml:space="preserve"> </w:t>
            </w:r>
          </w:p>
          <w:p w14:paraId="01D5FC99" w14:textId="77777777" w:rsidR="003448F9" w:rsidRPr="00BA603F" w:rsidRDefault="003448F9" w:rsidP="00A2532B">
            <w:pPr>
              <w:tabs>
                <w:tab w:val="left" w:pos="851"/>
                <w:tab w:val="left" w:pos="2575"/>
              </w:tabs>
              <w:autoSpaceDE w:val="0"/>
              <w:autoSpaceDN w:val="0"/>
              <w:adjustRightInd w:val="0"/>
              <w:ind w:right="570"/>
              <w:rPr>
                <w:rFonts w:ascii="Georgia" w:hAnsi="Georgia" w:cs="Arial"/>
                <w:b/>
                <w:bCs/>
                <w:color w:val="E42618"/>
                <w:sz w:val="26"/>
                <w:szCs w:val="26"/>
              </w:rPr>
            </w:pPr>
          </w:p>
          <w:p w14:paraId="648AF4FE" w14:textId="1CE58E4F" w:rsidR="007E6EAA" w:rsidRPr="008F0286" w:rsidRDefault="00B84B2D" w:rsidP="00B84B2D">
            <w:pPr>
              <w:tabs>
                <w:tab w:val="left" w:pos="851"/>
                <w:tab w:val="left" w:pos="2575"/>
              </w:tabs>
              <w:autoSpaceDE w:val="0"/>
              <w:autoSpaceDN w:val="0"/>
              <w:adjustRightInd w:val="0"/>
              <w:ind w:right="570"/>
              <w:rPr>
                <w:rFonts w:ascii="Georgia" w:hAnsi="Georgia" w:cs="Arial"/>
                <w:b/>
                <w:bCs/>
                <w:color w:val="E42618"/>
                <w:sz w:val="28"/>
                <w:szCs w:val="28"/>
              </w:rPr>
            </w:pPr>
            <w:r w:rsidRPr="00684E2E">
              <w:rPr>
                <w:rFonts w:ascii="Arial Narrow" w:hAnsi="Arial Narrow" w:cs="Arial"/>
                <w:bCs/>
                <w:color w:val="1F497D" w:themeColor="text2"/>
              </w:rPr>
              <w:t>Nel 20</w:t>
            </w:r>
            <w:r w:rsidR="00684E2E" w:rsidRPr="00684E2E">
              <w:rPr>
                <w:rFonts w:ascii="Arial Narrow" w:hAnsi="Arial Narrow" w:cs="Arial"/>
                <w:bCs/>
                <w:color w:val="1F497D" w:themeColor="text2"/>
              </w:rPr>
              <w:t>1</w:t>
            </w:r>
            <w:r w:rsidRPr="00684E2E">
              <w:rPr>
                <w:rFonts w:ascii="Arial Narrow" w:hAnsi="Arial Narrow" w:cs="Arial"/>
                <w:bCs/>
                <w:color w:val="1F497D" w:themeColor="text2"/>
              </w:rPr>
              <w:t>8,</w:t>
            </w:r>
            <w:r>
              <w:rPr>
                <w:rFonts w:ascii="Arial Narrow" w:hAnsi="Arial Narrow" w:cs="Arial"/>
                <w:bCs/>
                <w:color w:val="1F497D" w:themeColor="text2"/>
              </w:rPr>
              <w:t xml:space="preserve"> </w:t>
            </w:r>
            <w:r w:rsidR="0063091F">
              <w:rPr>
                <w:rFonts w:ascii="Arial Narrow" w:hAnsi="Arial Narrow" w:cs="Arial"/>
                <w:bCs/>
                <w:color w:val="1F497D" w:themeColor="text2"/>
              </w:rPr>
              <w:t xml:space="preserve">Sicilia e </w:t>
            </w:r>
            <w:r>
              <w:rPr>
                <w:rFonts w:ascii="Arial Narrow" w:hAnsi="Arial Narrow" w:cs="Arial"/>
                <w:bCs/>
                <w:color w:val="1F497D" w:themeColor="text2"/>
              </w:rPr>
              <w:t>Campania</w:t>
            </w:r>
            <w:r w:rsidR="0063091F">
              <w:rPr>
                <w:rFonts w:ascii="Arial Narrow" w:hAnsi="Arial Narrow" w:cs="Arial"/>
                <w:bCs/>
                <w:color w:val="1F497D" w:themeColor="text2"/>
              </w:rPr>
              <w:t xml:space="preserve"> perdono oltre </w:t>
            </w:r>
            <w:r w:rsidR="00F71F62">
              <w:rPr>
                <w:rFonts w:ascii="Arial Narrow" w:hAnsi="Arial Narrow" w:cs="Arial"/>
                <w:bCs/>
                <w:color w:val="1F497D" w:themeColor="text2"/>
              </w:rPr>
              <w:t>8.500 residenti</w:t>
            </w:r>
            <w:r w:rsidR="0063091F">
              <w:rPr>
                <w:rFonts w:ascii="Arial Narrow" w:hAnsi="Arial Narrow" w:cs="Arial"/>
                <w:bCs/>
                <w:color w:val="1F497D" w:themeColor="text2"/>
              </w:rPr>
              <w:t xml:space="preserve"> italiani laureati di 25 anni e più</w:t>
            </w:r>
            <w:r w:rsidR="003448F9">
              <w:rPr>
                <w:rFonts w:ascii="Arial Narrow" w:hAnsi="Arial Narrow" w:cs="Arial"/>
                <w:bCs/>
                <w:color w:val="1F497D" w:themeColor="text2"/>
              </w:rPr>
              <w:t xml:space="preserve"> </w:t>
            </w:r>
            <w:r>
              <w:rPr>
                <w:rFonts w:ascii="Arial Narrow" w:hAnsi="Arial Narrow" w:cs="Arial"/>
                <w:bCs/>
                <w:color w:val="1F497D" w:themeColor="text2"/>
              </w:rPr>
              <w:t>per trasferimenti verso altre regioni.</w:t>
            </w:r>
          </w:p>
        </w:tc>
      </w:tr>
      <w:tr w:rsidR="004E1ED3" w:rsidRPr="001A62B5" w14:paraId="2A1EBE67" w14:textId="77777777" w:rsidTr="009B10D5">
        <w:trPr>
          <w:trHeight w:val="227"/>
        </w:trPr>
        <w:tc>
          <w:tcPr>
            <w:tcW w:w="12020" w:type="dxa"/>
            <w:gridSpan w:val="3"/>
            <w:shd w:val="clear" w:color="auto" w:fill="D9D9D9" w:themeFill="background1" w:themeFillShade="D9"/>
          </w:tcPr>
          <w:p w14:paraId="0A7E4B63" w14:textId="77777777" w:rsidR="004E1ED3" w:rsidRPr="009718E2" w:rsidRDefault="004E1ED3" w:rsidP="00A2532B">
            <w:pPr>
              <w:tabs>
                <w:tab w:val="left" w:pos="851"/>
                <w:tab w:val="left" w:pos="2575"/>
              </w:tabs>
              <w:autoSpaceDE w:val="0"/>
              <w:autoSpaceDN w:val="0"/>
              <w:adjustRightInd w:val="0"/>
              <w:ind w:right="570"/>
              <w:rPr>
                <w:rFonts w:ascii="Georgia" w:hAnsi="Georgia" w:cs="Arial"/>
                <w:bCs/>
                <w:color w:val="E42618"/>
                <w:sz w:val="16"/>
                <w:szCs w:val="16"/>
              </w:rPr>
            </w:pPr>
          </w:p>
        </w:tc>
      </w:tr>
    </w:tbl>
    <w:p w14:paraId="21979D08" w14:textId="094831C8" w:rsidR="00C65721" w:rsidRPr="0058002A" w:rsidRDefault="00C65721" w:rsidP="000467F2">
      <w:pPr>
        <w:rPr>
          <w:rFonts w:ascii="Arial" w:hAnsi="Arial" w:cs="Arial"/>
          <w:iCs/>
          <w:noProof/>
          <w:color w:val="000000"/>
          <w:sz w:val="20"/>
          <w:szCs w:val="20"/>
        </w:rPr>
        <w:sectPr w:rsidR="00C65721" w:rsidRPr="0058002A" w:rsidSect="00123E17">
          <w:footerReference w:type="even" r:id="rId9"/>
          <w:footerReference w:type="default" r:id="rId10"/>
          <w:headerReference w:type="first" r:id="rId11"/>
          <w:footerReference w:type="first" r:id="rId12"/>
          <w:type w:val="continuous"/>
          <w:pgSz w:w="11906" w:h="16838"/>
          <w:pgMar w:top="567" w:right="851" w:bottom="680" w:left="851" w:header="0" w:footer="0" w:gutter="0"/>
          <w:pgNumType w:start="1"/>
          <w:cols w:space="708"/>
          <w:titlePg/>
          <w:docGrid w:linePitch="360"/>
        </w:sectPr>
      </w:pPr>
    </w:p>
    <w:p w14:paraId="56CC044D" w14:textId="77777777" w:rsidR="004E1ED3" w:rsidRDefault="004E1ED3" w:rsidP="00464795">
      <w:pPr>
        <w:spacing w:after="80"/>
        <w:jc w:val="both"/>
        <w:rPr>
          <w:rFonts w:ascii="Arial" w:hAnsi="Arial" w:cs="Arial"/>
          <w:b/>
          <w:iCs/>
          <w:color w:val="1F497D" w:themeColor="text2"/>
          <w:sz w:val="26"/>
          <w:szCs w:val="26"/>
        </w:rPr>
      </w:pPr>
    </w:p>
    <w:p w14:paraId="50700CE7" w14:textId="77777777" w:rsidR="00464795" w:rsidRPr="00464795" w:rsidRDefault="00464795" w:rsidP="00464795">
      <w:pPr>
        <w:spacing w:after="80"/>
        <w:jc w:val="both"/>
        <w:rPr>
          <w:rFonts w:ascii="Arial" w:hAnsi="Arial" w:cs="Arial"/>
          <w:b/>
          <w:iCs/>
          <w:color w:val="1F497D" w:themeColor="text2"/>
          <w:sz w:val="26"/>
          <w:szCs w:val="26"/>
        </w:rPr>
      </w:pPr>
      <w:r w:rsidRPr="00464795">
        <w:rPr>
          <w:rFonts w:ascii="Arial" w:hAnsi="Arial" w:cs="Arial"/>
          <w:b/>
          <w:iCs/>
          <w:color w:val="1F497D" w:themeColor="text2"/>
          <w:sz w:val="26"/>
          <w:szCs w:val="26"/>
        </w:rPr>
        <w:t>Aumentano gli italiani che lasciano il Paese</w:t>
      </w:r>
    </w:p>
    <w:p w14:paraId="5DEFD3BD" w14:textId="7D47DA3F" w:rsidR="00464795" w:rsidRPr="00464795" w:rsidRDefault="00541110" w:rsidP="00464795">
      <w:pPr>
        <w:spacing w:after="80"/>
        <w:jc w:val="both"/>
        <w:rPr>
          <w:rFonts w:ascii="Arial" w:hAnsi="Arial" w:cs="Arial"/>
          <w:iCs/>
          <w:sz w:val="22"/>
          <w:szCs w:val="22"/>
        </w:rPr>
      </w:pPr>
      <w:r>
        <w:rPr>
          <w:rFonts w:ascii="Arial" w:hAnsi="Arial" w:cs="Arial"/>
          <w:iCs/>
          <w:sz w:val="22"/>
          <w:szCs w:val="22"/>
        </w:rPr>
        <w:t>Nel 2018</w:t>
      </w:r>
      <w:r w:rsidR="00464795" w:rsidRPr="00464795">
        <w:rPr>
          <w:rFonts w:ascii="Arial" w:hAnsi="Arial" w:cs="Arial"/>
          <w:iCs/>
          <w:sz w:val="22"/>
          <w:szCs w:val="22"/>
        </w:rPr>
        <w:t xml:space="preserve"> il volume complessivo delle cancellazioni anagrafiche per l’estero è di </w:t>
      </w:r>
      <w:r>
        <w:rPr>
          <w:rFonts w:ascii="Arial" w:hAnsi="Arial" w:cs="Arial"/>
          <w:iCs/>
          <w:sz w:val="22"/>
          <w:szCs w:val="22"/>
        </w:rPr>
        <w:t>157</w:t>
      </w:r>
      <w:r w:rsidR="00464795" w:rsidRPr="00464795">
        <w:rPr>
          <w:rFonts w:ascii="Arial" w:hAnsi="Arial" w:cs="Arial"/>
          <w:iCs/>
          <w:sz w:val="22"/>
          <w:szCs w:val="22"/>
        </w:rPr>
        <w:t xml:space="preserve"> mila unità, in </w:t>
      </w:r>
      <w:r>
        <w:rPr>
          <w:rFonts w:ascii="Arial" w:hAnsi="Arial" w:cs="Arial"/>
          <w:iCs/>
          <w:sz w:val="22"/>
          <w:szCs w:val="22"/>
        </w:rPr>
        <w:t>aumento</w:t>
      </w:r>
      <w:r w:rsidR="00464795" w:rsidRPr="00464795">
        <w:rPr>
          <w:rFonts w:ascii="Arial" w:hAnsi="Arial" w:cs="Arial"/>
          <w:iCs/>
          <w:sz w:val="22"/>
          <w:szCs w:val="22"/>
        </w:rPr>
        <w:t xml:space="preserve"> dell</w:t>
      </w:r>
      <w:r>
        <w:rPr>
          <w:rFonts w:ascii="Arial" w:hAnsi="Arial" w:cs="Arial"/>
          <w:iCs/>
          <w:sz w:val="22"/>
          <w:szCs w:val="22"/>
        </w:rPr>
        <w:t>’</w:t>
      </w:r>
      <w:r w:rsidR="00464795" w:rsidRPr="00464795">
        <w:rPr>
          <w:rFonts w:ascii="Arial" w:hAnsi="Arial" w:cs="Arial"/>
          <w:iCs/>
          <w:sz w:val="22"/>
          <w:szCs w:val="22"/>
        </w:rPr>
        <w:t>1,2%</w:t>
      </w:r>
      <w:r w:rsidR="00E96B9A">
        <w:rPr>
          <w:rFonts w:ascii="Arial" w:hAnsi="Arial" w:cs="Arial"/>
          <w:iCs/>
          <w:sz w:val="22"/>
          <w:szCs w:val="22"/>
        </w:rPr>
        <w:t xml:space="preserve"> rispetto all’anno prece</w:t>
      </w:r>
      <w:r>
        <w:rPr>
          <w:rFonts w:ascii="Arial" w:hAnsi="Arial" w:cs="Arial"/>
          <w:iCs/>
          <w:sz w:val="22"/>
          <w:szCs w:val="22"/>
        </w:rPr>
        <w:t>dent</w:t>
      </w:r>
      <w:r w:rsidR="005D3F55">
        <w:rPr>
          <w:rFonts w:ascii="Arial" w:hAnsi="Arial" w:cs="Arial"/>
          <w:iCs/>
          <w:sz w:val="22"/>
          <w:szCs w:val="22"/>
        </w:rPr>
        <w:t>e</w:t>
      </w:r>
      <w:r w:rsidR="00B95567">
        <w:rPr>
          <w:rFonts w:ascii="Arial" w:hAnsi="Arial" w:cs="Arial"/>
          <w:iCs/>
          <w:sz w:val="22"/>
          <w:szCs w:val="22"/>
        </w:rPr>
        <w:t xml:space="preserve">. </w:t>
      </w:r>
      <w:r w:rsidR="006E0FE9">
        <w:rPr>
          <w:rFonts w:ascii="Arial" w:hAnsi="Arial" w:cs="Arial"/>
          <w:iCs/>
          <w:sz w:val="22"/>
          <w:szCs w:val="22"/>
        </w:rPr>
        <w:t>L</w:t>
      </w:r>
      <w:r w:rsidR="00464795" w:rsidRPr="00464795">
        <w:rPr>
          <w:rFonts w:ascii="Arial" w:hAnsi="Arial" w:cs="Arial"/>
          <w:iCs/>
          <w:sz w:val="22"/>
          <w:szCs w:val="22"/>
        </w:rPr>
        <w:t>e emigrazioni dei cittadini italiani sono il 74% del totale (11</w:t>
      </w:r>
      <w:r>
        <w:rPr>
          <w:rFonts w:ascii="Arial" w:hAnsi="Arial" w:cs="Arial"/>
          <w:iCs/>
          <w:sz w:val="22"/>
          <w:szCs w:val="22"/>
        </w:rPr>
        <w:t>6.732</w:t>
      </w:r>
      <w:r w:rsidR="00464795" w:rsidRPr="00464795">
        <w:rPr>
          <w:rFonts w:ascii="Arial" w:hAnsi="Arial" w:cs="Arial"/>
          <w:iCs/>
          <w:sz w:val="22"/>
          <w:szCs w:val="22"/>
        </w:rPr>
        <w:t>). Se si considera il numero dei rimpatri (iscrizioni anagrafiche dall’estero di cittadini italiani), pari a</w:t>
      </w:r>
      <w:r>
        <w:rPr>
          <w:rFonts w:ascii="Arial" w:hAnsi="Arial" w:cs="Arial"/>
          <w:iCs/>
          <w:sz w:val="22"/>
          <w:szCs w:val="22"/>
        </w:rPr>
        <w:t xml:space="preserve"> 46.824</w:t>
      </w:r>
      <w:r w:rsidR="00464795" w:rsidRPr="00464795">
        <w:rPr>
          <w:rFonts w:ascii="Arial" w:hAnsi="Arial" w:cs="Arial"/>
          <w:iCs/>
          <w:sz w:val="22"/>
          <w:szCs w:val="22"/>
        </w:rPr>
        <w:t>, il calcolo del saldo migratorio con l’estero</w:t>
      </w:r>
      <w:r w:rsidR="002C3E8B">
        <w:rPr>
          <w:rFonts w:ascii="Arial" w:hAnsi="Arial" w:cs="Arial"/>
          <w:iCs/>
          <w:sz w:val="22"/>
          <w:szCs w:val="22"/>
        </w:rPr>
        <w:t xml:space="preserve"> </w:t>
      </w:r>
      <w:r w:rsidR="006F0971">
        <w:rPr>
          <w:rFonts w:ascii="Arial" w:hAnsi="Arial" w:cs="Arial"/>
          <w:iCs/>
          <w:sz w:val="22"/>
          <w:szCs w:val="22"/>
        </w:rPr>
        <w:t xml:space="preserve">degli italiani </w:t>
      </w:r>
      <w:r w:rsidR="002C3E8B">
        <w:rPr>
          <w:rFonts w:ascii="Arial" w:hAnsi="Arial" w:cs="Arial"/>
          <w:iCs/>
          <w:sz w:val="22"/>
          <w:szCs w:val="22"/>
        </w:rPr>
        <w:t>(</w:t>
      </w:r>
      <w:r w:rsidR="0062153A">
        <w:rPr>
          <w:rFonts w:ascii="Arial" w:hAnsi="Arial" w:cs="Arial"/>
          <w:iCs/>
          <w:sz w:val="22"/>
          <w:szCs w:val="22"/>
        </w:rPr>
        <w:t>iscrizioni meno cancellazioni anagrafiche)</w:t>
      </w:r>
      <w:r w:rsidR="00464795" w:rsidRPr="00464795">
        <w:rPr>
          <w:rFonts w:ascii="Arial" w:hAnsi="Arial" w:cs="Arial"/>
          <w:iCs/>
          <w:sz w:val="22"/>
          <w:szCs w:val="22"/>
        </w:rPr>
        <w:t xml:space="preserve"> restituisce un valore negativo di </w:t>
      </w:r>
      <w:r>
        <w:rPr>
          <w:rFonts w:ascii="Arial" w:hAnsi="Arial" w:cs="Arial"/>
          <w:iCs/>
          <w:sz w:val="22"/>
          <w:szCs w:val="22"/>
        </w:rPr>
        <w:t>69.908</w:t>
      </w:r>
      <w:r w:rsidR="00464795" w:rsidRPr="00464795">
        <w:rPr>
          <w:rFonts w:ascii="Arial" w:hAnsi="Arial" w:cs="Arial"/>
          <w:iCs/>
          <w:sz w:val="22"/>
          <w:szCs w:val="22"/>
        </w:rPr>
        <w:t xml:space="preserve"> unità. Il tasso di emigratorietà dei cittadini italiani è pari a </w:t>
      </w:r>
      <w:r>
        <w:rPr>
          <w:rFonts w:ascii="Arial" w:hAnsi="Arial" w:cs="Arial"/>
          <w:iCs/>
          <w:sz w:val="22"/>
          <w:szCs w:val="22"/>
        </w:rPr>
        <w:t>2,1</w:t>
      </w:r>
      <w:r w:rsidR="00464795" w:rsidRPr="00464795">
        <w:rPr>
          <w:rFonts w:ascii="Arial" w:hAnsi="Arial" w:cs="Arial"/>
          <w:iCs/>
          <w:sz w:val="22"/>
          <w:szCs w:val="22"/>
        </w:rPr>
        <w:t xml:space="preserve"> per </w:t>
      </w:r>
      <w:r w:rsidR="00E81C75">
        <w:rPr>
          <w:rFonts w:ascii="Arial" w:hAnsi="Arial" w:cs="Arial"/>
          <w:iCs/>
          <w:sz w:val="22"/>
          <w:szCs w:val="22"/>
        </w:rPr>
        <w:t>1.000</w:t>
      </w:r>
      <w:r w:rsidR="00464795" w:rsidRPr="00464795">
        <w:rPr>
          <w:rFonts w:ascii="Arial" w:hAnsi="Arial" w:cs="Arial"/>
          <w:iCs/>
          <w:sz w:val="22"/>
          <w:szCs w:val="22"/>
        </w:rPr>
        <w:t xml:space="preserve">. </w:t>
      </w:r>
    </w:p>
    <w:p w14:paraId="55D582F6" w14:textId="4CA75015" w:rsidR="00464795" w:rsidRPr="00464795" w:rsidRDefault="00F4332E" w:rsidP="00464795">
      <w:pPr>
        <w:spacing w:after="80"/>
        <w:jc w:val="both"/>
        <w:rPr>
          <w:rFonts w:ascii="Arial" w:hAnsi="Arial" w:cs="Arial"/>
          <w:iCs/>
          <w:sz w:val="22"/>
          <w:szCs w:val="22"/>
        </w:rPr>
      </w:pPr>
      <w:r>
        <w:rPr>
          <w:rFonts w:ascii="Arial" w:hAnsi="Arial" w:cs="Arial"/>
          <w:iCs/>
          <w:sz w:val="22"/>
          <w:szCs w:val="22"/>
        </w:rPr>
        <w:t xml:space="preserve">Nel </w:t>
      </w:r>
      <w:r w:rsidR="00A9638B">
        <w:rPr>
          <w:rFonts w:ascii="Arial" w:hAnsi="Arial" w:cs="Arial"/>
          <w:iCs/>
          <w:sz w:val="22"/>
          <w:szCs w:val="22"/>
        </w:rPr>
        <w:t>decennio</w:t>
      </w:r>
      <w:r>
        <w:rPr>
          <w:rFonts w:ascii="Arial" w:hAnsi="Arial" w:cs="Arial"/>
          <w:iCs/>
          <w:sz w:val="22"/>
          <w:szCs w:val="22"/>
        </w:rPr>
        <w:t xml:space="preserve"> 1999</w:t>
      </w:r>
      <w:r w:rsidR="00464795" w:rsidRPr="00464795">
        <w:rPr>
          <w:rFonts w:ascii="Arial" w:hAnsi="Arial" w:cs="Arial"/>
          <w:iCs/>
          <w:sz w:val="22"/>
          <w:szCs w:val="22"/>
        </w:rPr>
        <w:t>-20</w:t>
      </w:r>
      <w:r w:rsidR="00A9638B">
        <w:rPr>
          <w:rFonts w:ascii="Arial" w:hAnsi="Arial" w:cs="Arial"/>
          <w:iCs/>
          <w:sz w:val="22"/>
          <w:szCs w:val="22"/>
        </w:rPr>
        <w:t>08</w:t>
      </w:r>
      <w:r w:rsidR="00464795" w:rsidRPr="00464795">
        <w:rPr>
          <w:rFonts w:ascii="Arial" w:hAnsi="Arial" w:cs="Arial"/>
          <w:iCs/>
          <w:sz w:val="22"/>
          <w:szCs w:val="22"/>
        </w:rPr>
        <w:t xml:space="preserve"> gli italiani che hanno trasferito la residenza all’estero sono stati complessivamente </w:t>
      </w:r>
      <w:r w:rsidR="00A9638B">
        <w:rPr>
          <w:rFonts w:ascii="Arial" w:hAnsi="Arial" w:cs="Arial"/>
          <w:iCs/>
          <w:sz w:val="22"/>
          <w:szCs w:val="22"/>
        </w:rPr>
        <w:t>428</w:t>
      </w:r>
      <w:r w:rsidR="00464795" w:rsidRPr="00464795">
        <w:rPr>
          <w:rFonts w:ascii="Arial" w:hAnsi="Arial" w:cs="Arial"/>
          <w:iCs/>
          <w:sz w:val="22"/>
          <w:szCs w:val="22"/>
        </w:rPr>
        <w:t xml:space="preserve"> mila a fronte di </w:t>
      </w:r>
      <w:r w:rsidR="00A9638B">
        <w:rPr>
          <w:rFonts w:ascii="Arial" w:hAnsi="Arial" w:cs="Arial"/>
          <w:iCs/>
          <w:sz w:val="22"/>
          <w:szCs w:val="22"/>
        </w:rPr>
        <w:t>380</w:t>
      </w:r>
      <w:r w:rsidR="00464795" w:rsidRPr="00464795">
        <w:rPr>
          <w:rFonts w:ascii="Arial" w:hAnsi="Arial" w:cs="Arial"/>
          <w:iCs/>
          <w:sz w:val="22"/>
          <w:szCs w:val="22"/>
        </w:rPr>
        <w:t xml:space="preserve"> mila rimpatri, con un saldo negativo di </w:t>
      </w:r>
      <w:r w:rsidR="00A9638B">
        <w:rPr>
          <w:rFonts w:ascii="Arial" w:hAnsi="Arial" w:cs="Arial"/>
          <w:iCs/>
          <w:sz w:val="22"/>
          <w:szCs w:val="22"/>
        </w:rPr>
        <w:t>48</w:t>
      </w:r>
      <w:r w:rsidR="00464795" w:rsidRPr="00464795">
        <w:rPr>
          <w:rFonts w:ascii="Arial" w:hAnsi="Arial" w:cs="Arial"/>
          <w:iCs/>
          <w:sz w:val="22"/>
          <w:szCs w:val="22"/>
        </w:rPr>
        <w:t xml:space="preserve"> mila unità. </w:t>
      </w:r>
      <w:r w:rsidR="00541110">
        <w:rPr>
          <w:rFonts w:ascii="Arial" w:hAnsi="Arial" w:cs="Arial"/>
          <w:iCs/>
          <w:sz w:val="22"/>
          <w:szCs w:val="22"/>
        </w:rPr>
        <w:t xml:space="preserve">Dal </w:t>
      </w:r>
      <w:r w:rsidR="00A9638B">
        <w:rPr>
          <w:rFonts w:ascii="Arial" w:hAnsi="Arial" w:cs="Arial"/>
          <w:iCs/>
          <w:sz w:val="22"/>
          <w:szCs w:val="22"/>
        </w:rPr>
        <w:t>2009</w:t>
      </w:r>
      <w:r w:rsidR="00541110">
        <w:rPr>
          <w:rFonts w:ascii="Arial" w:hAnsi="Arial" w:cs="Arial"/>
          <w:iCs/>
          <w:sz w:val="22"/>
          <w:szCs w:val="22"/>
        </w:rPr>
        <w:t xml:space="preserve"> al 2018</w:t>
      </w:r>
      <w:r w:rsidR="0012509A">
        <w:rPr>
          <w:rFonts w:ascii="Arial" w:hAnsi="Arial" w:cs="Arial"/>
          <w:iCs/>
          <w:sz w:val="22"/>
          <w:szCs w:val="22"/>
        </w:rPr>
        <w:t xml:space="preserve"> </w:t>
      </w:r>
      <w:r w:rsidR="00464795" w:rsidRPr="00464795">
        <w:rPr>
          <w:rFonts w:ascii="Arial" w:hAnsi="Arial" w:cs="Arial"/>
          <w:iCs/>
          <w:sz w:val="22"/>
          <w:szCs w:val="22"/>
        </w:rPr>
        <w:t xml:space="preserve">si </w:t>
      </w:r>
      <w:r w:rsidR="002C3E8B">
        <w:rPr>
          <w:rFonts w:ascii="Arial" w:hAnsi="Arial" w:cs="Arial"/>
          <w:iCs/>
          <w:sz w:val="22"/>
          <w:szCs w:val="22"/>
        </w:rPr>
        <w:t xml:space="preserve">è </w:t>
      </w:r>
      <w:r w:rsidR="00464795" w:rsidRPr="00464795">
        <w:rPr>
          <w:rFonts w:ascii="Arial" w:hAnsi="Arial" w:cs="Arial"/>
          <w:iCs/>
          <w:sz w:val="22"/>
          <w:szCs w:val="22"/>
        </w:rPr>
        <w:t>registra</w:t>
      </w:r>
      <w:r w:rsidR="002C3E8B">
        <w:rPr>
          <w:rFonts w:ascii="Arial" w:hAnsi="Arial" w:cs="Arial"/>
          <w:iCs/>
          <w:sz w:val="22"/>
          <w:szCs w:val="22"/>
        </w:rPr>
        <w:t>to</w:t>
      </w:r>
      <w:r w:rsidR="00464795" w:rsidRPr="00464795">
        <w:rPr>
          <w:rFonts w:ascii="Arial" w:hAnsi="Arial" w:cs="Arial"/>
          <w:iCs/>
          <w:sz w:val="22"/>
          <w:szCs w:val="22"/>
        </w:rPr>
        <w:t xml:space="preserve"> un</w:t>
      </w:r>
      <w:r w:rsidR="00541110">
        <w:rPr>
          <w:rFonts w:ascii="Arial" w:hAnsi="Arial" w:cs="Arial"/>
          <w:iCs/>
          <w:sz w:val="22"/>
          <w:szCs w:val="22"/>
        </w:rPr>
        <w:t xml:space="preserve"> significativo aumento </w:t>
      </w:r>
      <w:r w:rsidR="00B95567" w:rsidRPr="00464795">
        <w:rPr>
          <w:rFonts w:ascii="Arial" w:hAnsi="Arial" w:cs="Arial"/>
          <w:iCs/>
          <w:sz w:val="22"/>
          <w:szCs w:val="22"/>
        </w:rPr>
        <w:t>d</w:t>
      </w:r>
      <w:r w:rsidR="00B95567">
        <w:rPr>
          <w:rFonts w:ascii="Arial" w:hAnsi="Arial" w:cs="Arial"/>
          <w:iCs/>
          <w:sz w:val="22"/>
          <w:szCs w:val="22"/>
        </w:rPr>
        <w:t xml:space="preserve">elle </w:t>
      </w:r>
      <w:r w:rsidR="00622117">
        <w:rPr>
          <w:rFonts w:ascii="Arial" w:hAnsi="Arial" w:cs="Arial"/>
          <w:iCs/>
          <w:sz w:val="22"/>
          <w:szCs w:val="22"/>
        </w:rPr>
        <w:t>cancellazioni per l’estero</w:t>
      </w:r>
      <w:r>
        <w:rPr>
          <w:rFonts w:ascii="Arial" w:hAnsi="Arial" w:cs="Arial"/>
          <w:iCs/>
          <w:sz w:val="22"/>
          <w:szCs w:val="22"/>
        </w:rPr>
        <w:t xml:space="preserve"> e una</w:t>
      </w:r>
      <w:r w:rsidR="00F10717">
        <w:rPr>
          <w:rFonts w:ascii="Arial" w:hAnsi="Arial" w:cs="Arial"/>
          <w:iCs/>
          <w:sz w:val="22"/>
          <w:szCs w:val="22"/>
        </w:rPr>
        <w:t xml:space="preserve"> riduzione dei </w:t>
      </w:r>
      <w:r w:rsidR="00622117">
        <w:rPr>
          <w:rFonts w:ascii="Arial" w:hAnsi="Arial" w:cs="Arial"/>
          <w:iCs/>
          <w:sz w:val="22"/>
          <w:szCs w:val="22"/>
        </w:rPr>
        <w:t xml:space="preserve">rientri (complessivamente </w:t>
      </w:r>
      <w:r w:rsidR="00A9638B">
        <w:rPr>
          <w:rFonts w:ascii="Arial" w:hAnsi="Arial" w:cs="Arial"/>
          <w:iCs/>
          <w:sz w:val="22"/>
          <w:szCs w:val="22"/>
        </w:rPr>
        <w:t>816</w:t>
      </w:r>
      <w:r w:rsidR="00622117">
        <w:rPr>
          <w:rFonts w:ascii="Arial" w:hAnsi="Arial" w:cs="Arial"/>
          <w:iCs/>
          <w:sz w:val="22"/>
          <w:szCs w:val="22"/>
        </w:rPr>
        <w:t xml:space="preserve"> mila espatri</w:t>
      </w:r>
      <w:r w:rsidR="004005AE">
        <w:rPr>
          <w:rFonts w:ascii="Arial" w:hAnsi="Arial" w:cs="Arial"/>
          <w:iCs/>
          <w:sz w:val="22"/>
          <w:szCs w:val="22"/>
        </w:rPr>
        <w:t xml:space="preserve"> e</w:t>
      </w:r>
      <w:r w:rsidR="00622117">
        <w:rPr>
          <w:rFonts w:ascii="Arial" w:hAnsi="Arial" w:cs="Arial"/>
          <w:iCs/>
          <w:sz w:val="22"/>
          <w:szCs w:val="22"/>
        </w:rPr>
        <w:t xml:space="preserve"> </w:t>
      </w:r>
      <w:r w:rsidR="00A9638B">
        <w:rPr>
          <w:rFonts w:ascii="Arial" w:hAnsi="Arial" w:cs="Arial"/>
          <w:iCs/>
          <w:sz w:val="22"/>
          <w:szCs w:val="22"/>
        </w:rPr>
        <w:t>333 mila</w:t>
      </w:r>
      <w:r w:rsidR="00622117">
        <w:rPr>
          <w:rFonts w:ascii="Arial" w:hAnsi="Arial" w:cs="Arial"/>
          <w:iCs/>
          <w:sz w:val="22"/>
          <w:szCs w:val="22"/>
        </w:rPr>
        <w:t xml:space="preserve"> rimpatri</w:t>
      </w:r>
      <w:r w:rsidR="004005AE">
        <w:rPr>
          <w:rFonts w:ascii="Arial" w:hAnsi="Arial" w:cs="Arial"/>
          <w:iCs/>
          <w:sz w:val="22"/>
          <w:szCs w:val="22"/>
        </w:rPr>
        <w:t>)</w:t>
      </w:r>
      <w:r w:rsidR="00B46F15">
        <w:rPr>
          <w:rFonts w:ascii="Arial" w:hAnsi="Arial" w:cs="Arial"/>
          <w:iCs/>
          <w:sz w:val="22"/>
          <w:szCs w:val="22"/>
        </w:rPr>
        <w:t>;</w:t>
      </w:r>
      <w:r w:rsidR="00F10717">
        <w:rPr>
          <w:rFonts w:ascii="Arial" w:hAnsi="Arial" w:cs="Arial"/>
          <w:iCs/>
          <w:sz w:val="22"/>
          <w:szCs w:val="22"/>
        </w:rPr>
        <w:t xml:space="preserve"> di conseguenza</w:t>
      </w:r>
      <w:r w:rsidR="004D22B4">
        <w:rPr>
          <w:rFonts w:ascii="Arial" w:hAnsi="Arial" w:cs="Arial"/>
          <w:iCs/>
          <w:sz w:val="22"/>
          <w:szCs w:val="22"/>
        </w:rPr>
        <w:t>,</w:t>
      </w:r>
      <w:r w:rsidR="00F10717">
        <w:rPr>
          <w:rFonts w:ascii="Arial" w:hAnsi="Arial" w:cs="Arial"/>
          <w:iCs/>
          <w:sz w:val="22"/>
          <w:szCs w:val="22"/>
        </w:rPr>
        <w:t xml:space="preserve"> i saldi </w:t>
      </w:r>
      <w:r w:rsidR="00464795" w:rsidRPr="00464795">
        <w:rPr>
          <w:rFonts w:ascii="Arial" w:hAnsi="Arial" w:cs="Arial"/>
          <w:iCs/>
          <w:sz w:val="22"/>
          <w:szCs w:val="22"/>
        </w:rPr>
        <w:t>migratori con l’estero dei cittadini italiani</w:t>
      </w:r>
      <w:r w:rsidR="0012509A">
        <w:rPr>
          <w:rFonts w:ascii="Arial" w:hAnsi="Arial" w:cs="Arial"/>
          <w:iCs/>
          <w:sz w:val="22"/>
          <w:szCs w:val="22"/>
        </w:rPr>
        <w:t xml:space="preserve">, soprattutto a partire dal 2015, </w:t>
      </w:r>
      <w:r w:rsidR="00F10717">
        <w:rPr>
          <w:rFonts w:ascii="Arial" w:hAnsi="Arial" w:cs="Arial"/>
          <w:iCs/>
          <w:sz w:val="22"/>
          <w:szCs w:val="22"/>
        </w:rPr>
        <w:t>s</w:t>
      </w:r>
      <w:r w:rsidR="00E74D51">
        <w:rPr>
          <w:rFonts w:ascii="Arial" w:hAnsi="Arial" w:cs="Arial"/>
          <w:iCs/>
          <w:sz w:val="22"/>
          <w:szCs w:val="22"/>
        </w:rPr>
        <w:t>ono stati in media</w:t>
      </w:r>
      <w:r w:rsidR="00F10717">
        <w:rPr>
          <w:rFonts w:ascii="Arial" w:hAnsi="Arial" w:cs="Arial"/>
          <w:iCs/>
          <w:sz w:val="22"/>
          <w:szCs w:val="22"/>
        </w:rPr>
        <w:t xml:space="preserve"> </w:t>
      </w:r>
      <w:r w:rsidR="00B46F15">
        <w:rPr>
          <w:rFonts w:ascii="Arial" w:hAnsi="Arial" w:cs="Arial"/>
          <w:iCs/>
          <w:sz w:val="22"/>
          <w:szCs w:val="22"/>
        </w:rPr>
        <w:t xml:space="preserve">negativi per </w:t>
      </w:r>
      <w:r w:rsidR="00F10717">
        <w:rPr>
          <w:rFonts w:ascii="Arial" w:hAnsi="Arial" w:cs="Arial"/>
          <w:iCs/>
          <w:sz w:val="22"/>
          <w:szCs w:val="22"/>
        </w:rPr>
        <w:t>70 mila unità</w:t>
      </w:r>
      <w:r w:rsidR="00D57D17">
        <w:rPr>
          <w:rFonts w:ascii="Arial" w:hAnsi="Arial" w:cs="Arial"/>
          <w:iCs/>
          <w:sz w:val="22"/>
          <w:szCs w:val="22"/>
        </w:rPr>
        <w:t xml:space="preserve"> l’anno</w:t>
      </w:r>
      <w:r w:rsidR="003A2851">
        <w:rPr>
          <w:rFonts w:ascii="Arial" w:hAnsi="Arial" w:cs="Arial"/>
          <w:iCs/>
          <w:sz w:val="22"/>
          <w:szCs w:val="22"/>
        </w:rPr>
        <w:t xml:space="preserve"> (Figura 1).</w:t>
      </w:r>
      <w:r w:rsidR="00F10717">
        <w:rPr>
          <w:rFonts w:ascii="Arial" w:hAnsi="Arial" w:cs="Arial"/>
          <w:iCs/>
          <w:sz w:val="22"/>
          <w:szCs w:val="22"/>
        </w:rPr>
        <w:t xml:space="preserve"> </w:t>
      </w:r>
    </w:p>
    <w:p w14:paraId="7B0DEDC2" w14:textId="50186F57" w:rsidR="00890ECA" w:rsidRDefault="00890ECA" w:rsidP="00890ECA">
      <w:pPr>
        <w:spacing w:after="80"/>
        <w:jc w:val="both"/>
        <w:rPr>
          <w:rFonts w:ascii="Arial" w:hAnsi="Arial" w:cs="Arial"/>
          <w:iCs/>
          <w:sz w:val="22"/>
          <w:szCs w:val="22"/>
        </w:rPr>
      </w:pPr>
      <w:r>
        <w:rPr>
          <w:rFonts w:ascii="Arial" w:hAnsi="Arial" w:cs="Arial"/>
          <w:iCs/>
          <w:sz w:val="22"/>
          <w:szCs w:val="22"/>
        </w:rPr>
        <w:t>La regione da cui emigrano più italiani, in valore assoluto, è la Lombardia c</w:t>
      </w:r>
      <w:r w:rsidRPr="00541110">
        <w:rPr>
          <w:rFonts w:ascii="Arial" w:hAnsi="Arial" w:cs="Arial"/>
          <w:iCs/>
          <w:sz w:val="22"/>
          <w:szCs w:val="22"/>
        </w:rPr>
        <w:t>o</w:t>
      </w:r>
      <w:r>
        <w:rPr>
          <w:rFonts w:ascii="Arial" w:hAnsi="Arial" w:cs="Arial"/>
          <w:iCs/>
          <w:sz w:val="22"/>
          <w:szCs w:val="22"/>
        </w:rPr>
        <w:t xml:space="preserve">n un </w:t>
      </w:r>
      <w:r w:rsidRPr="00541110">
        <w:rPr>
          <w:rFonts w:ascii="Arial" w:hAnsi="Arial" w:cs="Arial"/>
          <w:iCs/>
          <w:sz w:val="22"/>
          <w:szCs w:val="22"/>
        </w:rPr>
        <w:t>numero di cancellazioni</w:t>
      </w:r>
      <w:r>
        <w:rPr>
          <w:rFonts w:ascii="Arial" w:hAnsi="Arial" w:cs="Arial"/>
          <w:iCs/>
          <w:sz w:val="22"/>
          <w:szCs w:val="22"/>
        </w:rPr>
        <w:t xml:space="preserve"> anagrafiche per l’estero pari a </w:t>
      </w:r>
      <w:r w:rsidRPr="00541110">
        <w:rPr>
          <w:rFonts w:ascii="Arial" w:hAnsi="Arial" w:cs="Arial"/>
          <w:iCs/>
          <w:sz w:val="22"/>
          <w:szCs w:val="22"/>
        </w:rPr>
        <w:t xml:space="preserve">22 mila, </w:t>
      </w:r>
      <w:r w:rsidR="000F28CD">
        <w:rPr>
          <w:rFonts w:ascii="Arial" w:hAnsi="Arial" w:cs="Arial"/>
          <w:iCs/>
          <w:sz w:val="22"/>
          <w:szCs w:val="22"/>
        </w:rPr>
        <w:t>seguono</w:t>
      </w:r>
      <w:r w:rsidR="000F28CD" w:rsidRPr="00541110">
        <w:rPr>
          <w:rFonts w:ascii="Arial" w:hAnsi="Arial" w:cs="Arial"/>
          <w:iCs/>
          <w:sz w:val="22"/>
          <w:szCs w:val="22"/>
        </w:rPr>
        <w:t xml:space="preserve"> </w:t>
      </w:r>
      <w:r w:rsidRPr="00541110">
        <w:rPr>
          <w:rFonts w:ascii="Arial" w:hAnsi="Arial" w:cs="Arial"/>
          <w:iCs/>
          <w:sz w:val="22"/>
          <w:szCs w:val="22"/>
        </w:rPr>
        <w:t>Veneto</w:t>
      </w:r>
      <w:r>
        <w:rPr>
          <w:rFonts w:ascii="Arial" w:hAnsi="Arial" w:cs="Arial"/>
          <w:iCs/>
          <w:sz w:val="22"/>
          <w:szCs w:val="22"/>
        </w:rPr>
        <w:t xml:space="preserve"> e Sicilia</w:t>
      </w:r>
      <w:r w:rsidRPr="00541110">
        <w:rPr>
          <w:rFonts w:ascii="Arial" w:hAnsi="Arial" w:cs="Arial"/>
          <w:iCs/>
          <w:sz w:val="22"/>
          <w:szCs w:val="22"/>
        </w:rPr>
        <w:t xml:space="preserve"> (entrambe </w:t>
      </w:r>
      <w:r>
        <w:rPr>
          <w:rFonts w:ascii="Arial" w:hAnsi="Arial" w:cs="Arial"/>
          <w:iCs/>
          <w:sz w:val="22"/>
          <w:szCs w:val="22"/>
        </w:rPr>
        <w:t xml:space="preserve">oltre </w:t>
      </w:r>
      <w:r w:rsidRPr="00541110">
        <w:rPr>
          <w:rFonts w:ascii="Arial" w:hAnsi="Arial" w:cs="Arial"/>
          <w:iCs/>
          <w:sz w:val="22"/>
          <w:szCs w:val="22"/>
        </w:rPr>
        <w:t>11 mila),</w:t>
      </w:r>
      <w:r>
        <w:rPr>
          <w:rFonts w:ascii="Arial" w:hAnsi="Arial" w:cs="Arial"/>
          <w:iCs/>
          <w:sz w:val="22"/>
          <w:szCs w:val="22"/>
        </w:rPr>
        <w:t xml:space="preserve"> Lazio (10 mila) e Piemonte (</w:t>
      </w:r>
      <w:r w:rsidR="00E672BE">
        <w:rPr>
          <w:rFonts w:ascii="Arial" w:hAnsi="Arial" w:cs="Arial"/>
          <w:iCs/>
          <w:sz w:val="22"/>
          <w:szCs w:val="22"/>
        </w:rPr>
        <w:t>9</w:t>
      </w:r>
      <w:r w:rsidRPr="00541110">
        <w:rPr>
          <w:rFonts w:ascii="Arial" w:hAnsi="Arial" w:cs="Arial"/>
          <w:iCs/>
          <w:sz w:val="22"/>
          <w:szCs w:val="22"/>
        </w:rPr>
        <w:t xml:space="preserve"> mila).</w:t>
      </w:r>
      <w:r>
        <w:rPr>
          <w:rFonts w:ascii="Arial" w:hAnsi="Arial" w:cs="Arial"/>
          <w:iCs/>
          <w:sz w:val="22"/>
          <w:szCs w:val="22"/>
        </w:rPr>
        <w:t xml:space="preserve"> In termini relativi</w:t>
      </w:r>
      <w:r w:rsidR="005D3F55">
        <w:rPr>
          <w:rFonts w:ascii="Arial" w:hAnsi="Arial" w:cs="Arial"/>
          <w:iCs/>
          <w:sz w:val="22"/>
          <w:szCs w:val="22"/>
        </w:rPr>
        <w:t>,</w:t>
      </w:r>
      <w:r>
        <w:rPr>
          <w:rFonts w:ascii="Arial" w:hAnsi="Arial" w:cs="Arial"/>
          <w:iCs/>
          <w:sz w:val="22"/>
          <w:szCs w:val="22"/>
        </w:rPr>
        <w:t xml:space="preserve"> rispetto alla popolazione italiana residente nell</w:t>
      </w:r>
      <w:r w:rsidR="00E74D51">
        <w:rPr>
          <w:rFonts w:ascii="Arial" w:hAnsi="Arial" w:cs="Arial"/>
          <w:iCs/>
          <w:sz w:val="22"/>
          <w:szCs w:val="22"/>
        </w:rPr>
        <w:t>e</w:t>
      </w:r>
      <w:r>
        <w:rPr>
          <w:rFonts w:ascii="Arial" w:hAnsi="Arial" w:cs="Arial"/>
          <w:iCs/>
          <w:sz w:val="22"/>
          <w:szCs w:val="22"/>
        </w:rPr>
        <w:t xml:space="preserve"> region</w:t>
      </w:r>
      <w:r w:rsidR="00E74D51">
        <w:rPr>
          <w:rFonts w:ascii="Arial" w:hAnsi="Arial" w:cs="Arial"/>
          <w:iCs/>
          <w:sz w:val="22"/>
          <w:szCs w:val="22"/>
        </w:rPr>
        <w:t>i</w:t>
      </w:r>
      <w:r>
        <w:rPr>
          <w:rFonts w:ascii="Arial" w:hAnsi="Arial" w:cs="Arial"/>
          <w:iCs/>
          <w:sz w:val="22"/>
          <w:szCs w:val="22"/>
        </w:rPr>
        <w:t xml:space="preserve">, il tasso di emigratorietà più elevato si ha in Friuli-Venezia Giulia (4 italiani su </w:t>
      </w:r>
      <w:r w:rsidR="00E81C75">
        <w:rPr>
          <w:rFonts w:ascii="Arial" w:hAnsi="Arial" w:cs="Arial"/>
          <w:iCs/>
          <w:sz w:val="22"/>
          <w:szCs w:val="22"/>
        </w:rPr>
        <w:t>1.000</w:t>
      </w:r>
      <w:r w:rsidR="00F729E4">
        <w:rPr>
          <w:rFonts w:ascii="Arial" w:hAnsi="Arial" w:cs="Arial"/>
          <w:iCs/>
          <w:sz w:val="22"/>
          <w:szCs w:val="22"/>
        </w:rPr>
        <w:t xml:space="preserve"> residenti</w:t>
      </w:r>
      <w:r>
        <w:rPr>
          <w:rFonts w:ascii="Arial" w:hAnsi="Arial" w:cs="Arial"/>
          <w:iCs/>
          <w:sz w:val="22"/>
          <w:szCs w:val="22"/>
        </w:rPr>
        <w:t xml:space="preserve">), </w:t>
      </w:r>
      <w:r w:rsidR="0018698A">
        <w:rPr>
          <w:rFonts w:ascii="Arial" w:hAnsi="Arial" w:cs="Arial"/>
          <w:iCs/>
          <w:sz w:val="22"/>
          <w:szCs w:val="22"/>
        </w:rPr>
        <w:t>Trentino-Alto Adige</w:t>
      </w:r>
      <w:r>
        <w:rPr>
          <w:rFonts w:ascii="Arial" w:hAnsi="Arial" w:cs="Arial"/>
          <w:iCs/>
          <w:sz w:val="22"/>
          <w:szCs w:val="22"/>
        </w:rPr>
        <w:t xml:space="preserve"> e Valle d’Aosta (3 italiani su </w:t>
      </w:r>
      <w:r w:rsidR="00E81C75">
        <w:rPr>
          <w:rFonts w:ascii="Arial" w:hAnsi="Arial" w:cs="Arial"/>
          <w:iCs/>
          <w:sz w:val="22"/>
          <w:szCs w:val="22"/>
        </w:rPr>
        <w:t>1.000</w:t>
      </w:r>
      <w:r>
        <w:rPr>
          <w:rFonts w:ascii="Arial" w:hAnsi="Arial" w:cs="Arial"/>
          <w:iCs/>
          <w:sz w:val="22"/>
          <w:szCs w:val="22"/>
        </w:rPr>
        <w:t xml:space="preserve">), </w:t>
      </w:r>
      <w:r w:rsidR="00456F8E">
        <w:rPr>
          <w:rFonts w:ascii="Arial" w:hAnsi="Arial" w:cs="Arial"/>
          <w:iCs/>
          <w:sz w:val="22"/>
          <w:szCs w:val="22"/>
        </w:rPr>
        <w:t>grazie anche alla</w:t>
      </w:r>
      <w:r>
        <w:rPr>
          <w:rFonts w:ascii="Arial" w:hAnsi="Arial" w:cs="Arial"/>
          <w:iCs/>
          <w:sz w:val="22"/>
          <w:szCs w:val="22"/>
        </w:rPr>
        <w:t xml:space="preserve"> </w:t>
      </w:r>
      <w:r w:rsidR="00F729E4">
        <w:rPr>
          <w:rFonts w:ascii="Arial" w:hAnsi="Arial" w:cs="Arial"/>
          <w:iCs/>
          <w:sz w:val="22"/>
          <w:szCs w:val="22"/>
        </w:rPr>
        <w:t>posizione</w:t>
      </w:r>
      <w:r>
        <w:rPr>
          <w:rFonts w:ascii="Arial" w:hAnsi="Arial" w:cs="Arial"/>
          <w:iCs/>
          <w:sz w:val="22"/>
          <w:szCs w:val="22"/>
        </w:rPr>
        <w:t xml:space="preserve"> geografica di confine</w:t>
      </w:r>
      <w:r w:rsidR="00456F8E">
        <w:rPr>
          <w:rFonts w:ascii="Arial" w:hAnsi="Arial" w:cs="Arial"/>
          <w:iCs/>
          <w:sz w:val="22"/>
          <w:szCs w:val="22"/>
        </w:rPr>
        <w:t xml:space="preserve"> che </w:t>
      </w:r>
      <w:r w:rsidR="00E672BE">
        <w:rPr>
          <w:rFonts w:ascii="Arial" w:hAnsi="Arial" w:cs="Arial"/>
          <w:iCs/>
          <w:sz w:val="22"/>
          <w:szCs w:val="22"/>
        </w:rPr>
        <w:t>facilita i trasferimenti con i p</w:t>
      </w:r>
      <w:r w:rsidR="00456F8E">
        <w:rPr>
          <w:rFonts w:ascii="Arial" w:hAnsi="Arial" w:cs="Arial"/>
          <w:iCs/>
          <w:sz w:val="22"/>
          <w:szCs w:val="22"/>
        </w:rPr>
        <w:t>aesi limitrofi</w:t>
      </w:r>
      <w:r w:rsidR="00F729E4">
        <w:rPr>
          <w:rFonts w:ascii="Arial" w:hAnsi="Arial" w:cs="Arial"/>
          <w:iCs/>
          <w:sz w:val="22"/>
          <w:szCs w:val="22"/>
        </w:rPr>
        <w:t xml:space="preserve">. Tassi più contenuti si rilevano nelle </w:t>
      </w:r>
      <w:r>
        <w:rPr>
          <w:rFonts w:ascii="Arial" w:hAnsi="Arial" w:cs="Arial"/>
          <w:iCs/>
          <w:sz w:val="22"/>
          <w:szCs w:val="22"/>
        </w:rPr>
        <w:t>Marche (2,5</w:t>
      </w:r>
      <w:r w:rsidR="00F729E4">
        <w:rPr>
          <w:rFonts w:ascii="Arial" w:hAnsi="Arial" w:cs="Arial"/>
          <w:iCs/>
          <w:sz w:val="22"/>
          <w:szCs w:val="22"/>
        </w:rPr>
        <w:t xml:space="preserve"> per </w:t>
      </w:r>
      <w:r w:rsidR="00E81C75">
        <w:rPr>
          <w:rFonts w:ascii="Arial" w:hAnsi="Arial" w:cs="Arial"/>
          <w:iCs/>
          <w:sz w:val="22"/>
          <w:szCs w:val="22"/>
        </w:rPr>
        <w:t>1.000</w:t>
      </w:r>
      <w:r>
        <w:rPr>
          <w:rFonts w:ascii="Arial" w:hAnsi="Arial" w:cs="Arial"/>
          <w:iCs/>
          <w:sz w:val="22"/>
          <w:szCs w:val="22"/>
        </w:rPr>
        <w:t xml:space="preserve">), </w:t>
      </w:r>
      <w:r w:rsidR="00F729E4">
        <w:rPr>
          <w:rFonts w:ascii="Arial" w:hAnsi="Arial" w:cs="Arial"/>
          <w:iCs/>
          <w:sz w:val="22"/>
          <w:szCs w:val="22"/>
        </w:rPr>
        <w:t xml:space="preserve">in </w:t>
      </w:r>
      <w:r>
        <w:rPr>
          <w:rFonts w:ascii="Arial" w:hAnsi="Arial" w:cs="Arial"/>
          <w:iCs/>
          <w:sz w:val="22"/>
          <w:szCs w:val="22"/>
        </w:rPr>
        <w:t>Veneto, Sicilia</w:t>
      </w:r>
      <w:r w:rsidR="004D22B4">
        <w:rPr>
          <w:rFonts w:ascii="Arial" w:hAnsi="Arial" w:cs="Arial"/>
          <w:iCs/>
          <w:sz w:val="22"/>
          <w:szCs w:val="22"/>
        </w:rPr>
        <w:t>,</w:t>
      </w:r>
      <w:r>
        <w:rPr>
          <w:rFonts w:ascii="Arial" w:hAnsi="Arial" w:cs="Arial"/>
          <w:iCs/>
          <w:sz w:val="22"/>
          <w:szCs w:val="22"/>
        </w:rPr>
        <w:t xml:space="preserve"> Abruzzo e Molise (2,4</w:t>
      </w:r>
      <w:r w:rsidR="00F729E4">
        <w:rPr>
          <w:rFonts w:ascii="Arial" w:hAnsi="Arial" w:cs="Arial"/>
          <w:iCs/>
          <w:sz w:val="22"/>
          <w:szCs w:val="22"/>
        </w:rPr>
        <w:t xml:space="preserve"> per </w:t>
      </w:r>
      <w:r w:rsidR="00E81C75">
        <w:rPr>
          <w:rFonts w:ascii="Arial" w:hAnsi="Arial" w:cs="Arial"/>
          <w:iCs/>
          <w:sz w:val="22"/>
          <w:szCs w:val="22"/>
        </w:rPr>
        <w:t>1.000</w:t>
      </w:r>
      <w:r>
        <w:rPr>
          <w:rFonts w:ascii="Arial" w:hAnsi="Arial" w:cs="Arial"/>
          <w:iCs/>
          <w:sz w:val="22"/>
          <w:szCs w:val="22"/>
        </w:rPr>
        <w:t xml:space="preserve">). Le regioni con il tasso di emigratorietà </w:t>
      </w:r>
      <w:r w:rsidR="00E74D51">
        <w:rPr>
          <w:rFonts w:ascii="Arial" w:hAnsi="Arial" w:cs="Arial"/>
          <w:iCs/>
          <w:sz w:val="22"/>
          <w:szCs w:val="22"/>
        </w:rPr>
        <w:t xml:space="preserve">con l’estero </w:t>
      </w:r>
      <w:r>
        <w:rPr>
          <w:rFonts w:ascii="Arial" w:hAnsi="Arial" w:cs="Arial"/>
          <w:iCs/>
          <w:sz w:val="22"/>
          <w:szCs w:val="22"/>
        </w:rPr>
        <w:t>più basso son</w:t>
      </w:r>
      <w:r w:rsidR="005D3F55">
        <w:rPr>
          <w:rFonts w:ascii="Arial" w:hAnsi="Arial" w:cs="Arial"/>
          <w:iCs/>
          <w:sz w:val="22"/>
          <w:szCs w:val="22"/>
        </w:rPr>
        <w:t xml:space="preserve">o Basilicata, Campania e Puglia, con valori pari a circa 1,3 per </w:t>
      </w:r>
      <w:r w:rsidR="00E81C75">
        <w:rPr>
          <w:rFonts w:ascii="Arial" w:hAnsi="Arial" w:cs="Arial"/>
          <w:iCs/>
          <w:sz w:val="22"/>
          <w:szCs w:val="22"/>
        </w:rPr>
        <w:t>1.000</w:t>
      </w:r>
      <w:r w:rsidR="005D3F55">
        <w:rPr>
          <w:rFonts w:ascii="Arial" w:hAnsi="Arial" w:cs="Arial"/>
          <w:iCs/>
          <w:sz w:val="22"/>
          <w:szCs w:val="22"/>
        </w:rPr>
        <w:t>.</w:t>
      </w:r>
    </w:p>
    <w:p w14:paraId="606715E0" w14:textId="6F26A899" w:rsidR="00F10717" w:rsidRDefault="004D22B4" w:rsidP="00456F8E">
      <w:pPr>
        <w:spacing w:before="240" w:after="80"/>
        <w:jc w:val="both"/>
        <w:rPr>
          <w:rFonts w:ascii="Arial" w:hAnsi="Arial" w:cs="Arial"/>
          <w:iCs/>
          <w:sz w:val="22"/>
          <w:szCs w:val="22"/>
        </w:rPr>
      </w:pPr>
      <w:r>
        <w:rPr>
          <w:rFonts w:ascii="Arial" w:hAnsi="Arial" w:cs="Arial"/>
          <w:iCs/>
          <w:sz w:val="22"/>
          <w:szCs w:val="22"/>
        </w:rPr>
        <w:t>A</w:t>
      </w:r>
      <w:r w:rsidR="00890ECA" w:rsidRPr="00541110">
        <w:rPr>
          <w:rFonts w:ascii="Arial" w:hAnsi="Arial" w:cs="Arial"/>
          <w:iCs/>
          <w:sz w:val="22"/>
          <w:szCs w:val="22"/>
        </w:rPr>
        <w:t xml:space="preserve"> </w:t>
      </w:r>
      <w:r w:rsidR="000F28CD">
        <w:rPr>
          <w:rFonts w:ascii="Arial" w:hAnsi="Arial" w:cs="Arial"/>
          <w:iCs/>
          <w:sz w:val="22"/>
          <w:szCs w:val="22"/>
        </w:rPr>
        <w:t xml:space="preserve">un </w:t>
      </w:r>
      <w:r w:rsidR="00890ECA" w:rsidRPr="00541110">
        <w:rPr>
          <w:rFonts w:ascii="Arial" w:hAnsi="Arial" w:cs="Arial"/>
          <w:iCs/>
          <w:sz w:val="22"/>
          <w:szCs w:val="22"/>
        </w:rPr>
        <w:t>maggior dettaglio territoriale</w:t>
      </w:r>
      <w:r w:rsidR="00ED02C9">
        <w:rPr>
          <w:rFonts w:ascii="Arial" w:hAnsi="Arial" w:cs="Arial"/>
          <w:iCs/>
          <w:sz w:val="22"/>
          <w:szCs w:val="22"/>
        </w:rPr>
        <w:t>,</w:t>
      </w:r>
      <w:r w:rsidR="00890ECA" w:rsidRPr="00541110">
        <w:rPr>
          <w:rFonts w:ascii="Arial" w:hAnsi="Arial" w:cs="Arial"/>
          <w:iCs/>
          <w:sz w:val="22"/>
          <w:szCs w:val="22"/>
        </w:rPr>
        <w:t xml:space="preserve"> i flussi </w:t>
      </w:r>
      <w:r w:rsidR="00E74D51">
        <w:rPr>
          <w:rFonts w:ascii="Arial" w:hAnsi="Arial" w:cs="Arial"/>
          <w:iCs/>
          <w:sz w:val="22"/>
          <w:szCs w:val="22"/>
        </w:rPr>
        <w:t xml:space="preserve">di cittadini italiani diretti verso l’estero </w:t>
      </w:r>
      <w:r w:rsidR="00890ECA" w:rsidRPr="00541110">
        <w:rPr>
          <w:rFonts w:ascii="Arial" w:hAnsi="Arial" w:cs="Arial"/>
          <w:iCs/>
          <w:sz w:val="22"/>
          <w:szCs w:val="22"/>
        </w:rPr>
        <w:t xml:space="preserve">provengono </w:t>
      </w:r>
      <w:r w:rsidR="00E74D51">
        <w:rPr>
          <w:rFonts w:ascii="Arial" w:hAnsi="Arial" w:cs="Arial"/>
          <w:iCs/>
          <w:sz w:val="22"/>
          <w:szCs w:val="22"/>
        </w:rPr>
        <w:t xml:space="preserve">principalmente </w:t>
      </w:r>
      <w:r w:rsidR="00890ECA" w:rsidRPr="00541110">
        <w:rPr>
          <w:rFonts w:ascii="Arial" w:hAnsi="Arial" w:cs="Arial"/>
          <w:iCs/>
          <w:sz w:val="22"/>
          <w:szCs w:val="22"/>
        </w:rPr>
        <w:t>dall</w:t>
      </w:r>
      <w:r w:rsidR="00F729E4">
        <w:rPr>
          <w:rFonts w:ascii="Arial" w:hAnsi="Arial" w:cs="Arial"/>
          <w:iCs/>
          <w:sz w:val="22"/>
          <w:szCs w:val="22"/>
        </w:rPr>
        <w:t xml:space="preserve">e </w:t>
      </w:r>
      <w:r w:rsidR="00E74D51">
        <w:rPr>
          <w:rFonts w:ascii="Arial" w:hAnsi="Arial" w:cs="Arial"/>
          <w:iCs/>
          <w:sz w:val="22"/>
          <w:szCs w:val="22"/>
        </w:rPr>
        <w:t xml:space="preserve">prime quattro </w:t>
      </w:r>
      <w:r w:rsidR="00F729E4">
        <w:rPr>
          <w:rFonts w:ascii="Arial" w:hAnsi="Arial" w:cs="Arial"/>
          <w:iCs/>
          <w:sz w:val="22"/>
          <w:szCs w:val="22"/>
        </w:rPr>
        <w:t xml:space="preserve">città metropolitane </w:t>
      </w:r>
      <w:r w:rsidR="00E74D51">
        <w:rPr>
          <w:rFonts w:ascii="Arial" w:hAnsi="Arial" w:cs="Arial"/>
          <w:iCs/>
          <w:sz w:val="22"/>
          <w:szCs w:val="22"/>
        </w:rPr>
        <w:t xml:space="preserve">per ampiezza demografica: </w:t>
      </w:r>
      <w:r w:rsidR="00890ECA">
        <w:rPr>
          <w:rFonts w:ascii="Arial" w:hAnsi="Arial" w:cs="Arial"/>
          <w:iCs/>
          <w:sz w:val="22"/>
          <w:szCs w:val="22"/>
        </w:rPr>
        <w:t xml:space="preserve">Roma (8 mila), Milano (6,5 mila), Torino (4 mila) </w:t>
      </w:r>
      <w:r w:rsidR="00890ECA" w:rsidRPr="00541110">
        <w:rPr>
          <w:rFonts w:ascii="Arial" w:hAnsi="Arial" w:cs="Arial"/>
          <w:iCs/>
          <w:sz w:val="22"/>
          <w:szCs w:val="22"/>
        </w:rPr>
        <w:t>e Napoli (</w:t>
      </w:r>
      <w:r w:rsidR="00890ECA">
        <w:rPr>
          <w:rFonts w:ascii="Arial" w:hAnsi="Arial" w:cs="Arial"/>
          <w:iCs/>
          <w:sz w:val="22"/>
          <w:szCs w:val="22"/>
        </w:rPr>
        <w:t>3,5</w:t>
      </w:r>
      <w:r w:rsidR="00890ECA" w:rsidRPr="00541110">
        <w:rPr>
          <w:rFonts w:ascii="Arial" w:hAnsi="Arial" w:cs="Arial"/>
          <w:iCs/>
          <w:sz w:val="22"/>
          <w:szCs w:val="22"/>
        </w:rPr>
        <w:t xml:space="preserve"> mila); in termini relativi</w:t>
      </w:r>
      <w:r w:rsidR="00F729E4">
        <w:rPr>
          <w:rFonts w:ascii="Arial" w:hAnsi="Arial" w:cs="Arial"/>
          <w:iCs/>
          <w:sz w:val="22"/>
          <w:szCs w:val="22"/>
        </w:rPr>
        <w:t>,</w:t>
      </w:r>
      <w:r w:rsidR="00890ECA" w:rsidRPr="00541110">
        <w:rPr>
          <w:rFonts w:ascii="Arial" w:hAnsi="Arial" w:cs="Arial"/>
          <w:iCs/>
          <w:sz w:val="22"/>
          <w:szCs w:val="22"/>
        </w:rPr>
        <w:t xml:space="preserve"> </w:t>
      </w:r>
      <w:r w:rsidR="00E74D51">
        <w:rPr>
          <w:rFonts w:ascii="Arial" w:hAnsi="Arial" w:cs="Arial"/>
          <w:iCs/>
          <w:sz w:val="22"/>
          <w:szCs w:val="22"/>
        </w:rPr>
        <w:t xml:space="preserve">tuttavia, </w:t>
      </w:r>
      <w:r w:rsidR="00F729E4">
        <w:rPr>
          <w:rFonts w:ascii="Arial" w:hAnsi="Arial" w:cs="Arial"/>
          <w:iCs/>
          <w:sz w:val="22"/>
          <w:szCs w:val="22"/>
        </w:rPr>
        <w:t xml:space="preserve">rispetto alla popolazione italiana residente nelle province, </w:t>
      </w:r>
      <w:r>
        <w:rPr>
          <w:rFonts w:ascii="Arial" w:hAnsi="Arial" w:cs="Arial"/>
          <w:iCs/>
          <w:sz w:val="22"/>
          <w:szCs w:val="22"/>
        </w:rPr>
        <w:t>sono</w:t>
      </w:r>
      <w:r w:rsidR="00E74D51">
        <w:rPr>
          <w:rFonts w:ascii="Arial" w:hAnsi="Arial" w:cs="Arial"/>
          <w:iCs/>
          <w:sz w:val="22"/>
          <w:szCs w:val="22"/>
        </w:rPr>
        <w:t xml:space="preserve"> </w:t>
      </w:r>
      <w:r w:rsidR="00890ECA">
        <w:rPr>
          <w:rFonts w:ascii="Arial" w:hAnsi="Arial" w:cs="Arial"/>
          <w:iCs/>
          <w:sz w:val="22"/>
          <w:szCs w:val="22"/>
        </w:rPr>
        <w:t xml:space="preserve">Imperia e </w:t>
      </w:r>
      <w:r w:rsidR="00890ECA" w:rsidRPr="00541110">
        <w:rPr>
          <w:rFonts w:ascii="Arial" w:hAnsi="Arial" w:cs="Arial"/>
          <w:iCs/>
          <w:sz w:val="22"/>
          <w:szCs w:val="22"/>
        </w:rPr>
        <w:t>Bolzano (</w:t>
      </w:r>
      <w:r w:rsidR="00890ECA">
        <w:rPr>
          <w:rFonts w:ascii="Arial" w:hAnsi="Arial" w:cs="Arial"/>
          <w:iCs/>
          <w:sz w:val="22"/>
          <w:szCs w:val="22"/>
        </w:rPr>
        <w:t>entrambe 3,6</w:t>
      </w:r>
      <w:r w:rsidR="00F729E4">
        <w:rPr>
          <w:rFonts w:ascii="Arial" w:hAnsi="Arial" w:cs="Arial"/>
          <w:iCs/>
          <w:sz w:val="22"/>
          <w:szCs w:val="22"/>
        </w:rPr>
        <w:t xml:space="preserve"> per </w:t>
      </w:r>
      <w:r w:rsidR="00E81C75">
        <w:rPr>
          <w:rFonts w:ascii="Arial" w:hAnsi="Arial" w:cs="Arial"/>
          <w:iCs/>
          <w:sz w:val="22"/>
          <w:szCs w:val="22"/>
        </w:rPr>
        <w:t>1.000</w:t>
      </w:r>
      <w:r w:rsidR="00890ECA">
        <w:rPr>
          <w:rFonts w:ascii="Arial" w:hAnsi="Arial" w:cs="Arial"/>
          <w:iCs/>
          <w:sz w:val="22"/>
          <w:szCs w:val="22"/>
        </w:rPr>
        <w:t xml:space="preserve">), </w:t>
      </w:r>
      <w:r w:rsidR="004C1920">
        <w:rPr>
          <w:rFonts w:ascii="Arial" w:hAnsi="Arial" w:cs="Arial"/>
          <w:iCs/>
          <w:sz w:val="22"/>
          <w:szCs w:val="22"/>
        </w:rPr>
        <w:t xml:space="preserve">seguite da </w:t>
      </w:r>
      <w:r w:rsidR="00890ECA">
        <w:rPr>
          <w:rFonts w:ascii="Arial" w:hAnsi="Arial" w:cs="Arial"/>
          <w:iCs/>
          <w:sz w:val="22"/>
          <w:szCs w:val="22"/>
        </w:rPr>
        <w:t>Vicenza, Trieste e Isernia (3,1</w:t>
      </w:r>
      <w:r w:rsidR="00F729E4">
        <w:rPr>
          <w:rFonts w:ascii="Arial" w:hAnsi="Arial" w:cs="Arial"/>
          <w:iCs/>
          <w:sz w:val="22"/>
          <w:szCs w:val="22"/>
        </w:rPr>
        <w:t xml:space="preserve"> per </w:t>
      </w:r>
      <w:r w:rsidR="00E81C75">
        <w:rPr>
          <w:rFonts w:ascii="Arial" w:hAnsi="Arial" w:cs="Arial"/>
          <w:iCs/>
          <w:sz w:val="22"/>
          <w:szCs w:val="22"/>
        </w:rPr>
        <w:t>1.000</w:t>
      </w:r>
      <w:r w:rsidR="00890ECA" w:rsidRPr="00541110">
        <w:rPr>
          <w:rFonts w:ascii="Arial" w:hAnsi="Arial" w:cs="Arial"/>
          <w:iCs/>
          <w:sz w:val="22"/>
          <w:szCs w:val="22"/>
        </w:rPr>
        <w:t xml:space="preserve">) </w:t>
      </w:r>
      <w:r w:rsidR="004C1920">
        <w:rPr>
          <w:rFonts w:ascii="Arial" w:hAnsi="Arial" w:cs="Arial"/>
          <w:iCs/>
          <w:sz w:val="22"/>
          <w:szCs w:val="22"/>
        </w:rPr>
        <w:t xml:space="preserve">ad avere </w:t>
      </w:r>
      <w:r w:rsidR="00890ECA" w:rsidRPr="00541110">
        <w:rPr>
          <w:rFonts w:ascii="Arial" w:hAnsi="Arial" w:cs="Arial"/>
          <w:iCs/>
          <w:sz w:val="22"/>
          <w:szCs w:val="22"/>
        </w:rPr>
        <w:t>i tassi di emigratorietà provinciali degli italiani più elevati</w:t>
      </w:r>
      <w:r>
        <w:rPr>
          <w:rFonts w:ascii="Arial" w:hAnsi="Arial" w:cs="Arial"/>
          <w:iCs/>
          <w:sz w:val="22"/>
          <w:szCs w:val="22"/>
        </w:rPr>
        <w:t xml:space="preserve">; quelli più bassi </w:t>
      </w:r>
      <w:r w:rsidR="00890ECA">
        <w:rPr>
          <w:rFonts w:ascii="Arial" w:hAnsi="Arial" w:cs="Arial"/>
          <w:iCs/>
          <w:sz w:val="22"/>
          <w:szCs w:val="22"/>
        </w:rPr>
        <w:t>si registrano</w:t>
      </w:r>
      <w:r>
        <w:rPr>
          <w:rFonts w:ascii="Arial" w:hAnsi="Arial" w:cs="Arial"/>
          <w:iCs/>
          <w:sz w:val="22"/>
          <w:szCs w:val="22"/>
        </w:rPr>
        <w:t xml:space="preserve"> invece</w:t>
      </w:r>
      <w:r w:rsidR="00890ECA">
        <w:rPr>
          <w:rFonts w:ascii="Arial" w:hAnsi="Arial" w:cs="Arial"/>
          <w:iCs/>
          <w:sz w:val="22"/>
          <w:szCs w:val="22"/>
        </w:rPr>
        <w:t xml:space="preserve"> a Parma e Matera (1 per </w:t>
      </w:r>
      <w:r w:rsidR="00E81C75">
        <w:rPr>
          <w:rFonts w:ascii="Arial" w:hAnsi="Arial" w:cs="Arial"/>
          <w:iCs/>
          <w:sz w:val="22"/>
          <w:szCs w:val="22"/>
        </w:rPr>
        <w:t>1.000</w:t>
      </w:r>
      <w:r w:rsidR="00890ECA">
        <w:rPr>
          <w:rFonts w:ascii="Arial" w:hAnsi="Arial" w:cs="Arial"/>
          <w:iCs/>
          <w:sz w:val="22"/>
          <w:szCs w:val="22"/>
        </w:rPr>
        <w:t>)</w:t>
      </w:r>
      <w:r w:rsidR="00ED02C9">
        <w:rPr>
          <w:rFonts w:ascii="Arial" w:hAnsi="Arial" w:cs="Arial"/>
          <w:iCs/>
          <w:sz w:val="22"/>
          <w:szCs w:val="22"/>
        </w:rPr>
        <w:t>.</w:t>
      </w:r>
    </w:p>
    <w:p w14:paraId="780DE0D2" w14:textId="77777777" w:rsidR="002B770D" w:rsidRDefault="002B770D" w:rsidP="00FB204E">
      <w:pPr>
        <w:autoSpaceDE w:val="0"/>
        <w:autoSpaceDN w:val="0"/>
        <w:adjustRightInd w:val="0"/>
        <w:rPr>
          <w:rFonts w:ascii="Arial Black" w:hAnsi="Arial Black" w:cs="Arial"/>
          <w:iCs/>
          <w:noProof/>
          <w:color w:val="1F497D" w:themeColor="text2"/>
          <w:sz w:val="22"/>
          <w:szCs w:val="22"/>
        </w:rPr>
      </w:pPr>
    </w:p>
    <w:p w14:paraId="5C61E883" w14:textId="77777777" w:rsidR="004063D1" w:rsidRDefault="004063D1" w:rsidP="00FB204E">
      <w:pPr>
        <w:autoSpaceDE w:val="0"/>
        <w:autoSpaceDN w:val="0"/>
        <w:adjustRightInd w:val="0"/>
        <w:rPr>
          <w:rFonts w:ascii="Arial Black" w:hAnsi="Arial Black" w:cs="Arial"/>
          <w:iCs/>
          <w:noProof/>
          <w:color w:val="1F497D" w:themeColor="text2"/>
          <w:sz w:val="22"/>
          <w:szCs w:val="22"/>
        </w:rPr>
      </w:pPr>
    </w:p>
    <w:p w14:paraId="2E215B07" w14:textId="50ADEE0A" w:rsidR="00D20CFF" w:rsidRDefault="00D20CFF" w:rsidP="00FB204E">
      <w:pPr>
        <w:autoSpaceDE w:val="0"/>
        <w:autoSpaceDN w:val="0"/>
        <w:adjustRightInd w:val="0"/>
        <w:rPr>
          <w:rFonts w:ascii="Arial Black" w:hAnsi="Arial Black" w:cs="Arial"/>
          <w:iCs/>
          <w:noProof/>
          <w:color w:val="1F497D" w:themeColor="text2"/>
          <w:sz w:val="22"/>
          <w:szCs w:val="22"/>
        </w:rPr>
      </w:pPr>
    </w:p>
    <w:p w14:paraId="3D27A97A" w14:textId="77777777" w:rsidR="00832B8F" w:rsidRDefault="00832B8F" w:rsidP="00FB204E">
      <w:pPr>
        <w:autoSpaceDE w:val="0"/>
        <w:autoSpaceDN w:val="0"/>
        <w:adjustRightInd w:val="0"/>
        <w:rPr>
          <w:rFonts w:ascii="Arial Black" w:hAnsi="Arial Black" w:cs="Arial"/>
          <w:iCs/>
          <w:noProof/>
          <w:color w:val="1F497D" w:themeColor="text2"/>
          <w:sz w:val="22"/>
          <w:szCs w:val="22"/>
        </w:rPr>
      </w:pPr>
    </w:p>
    <w:p w14:paraId="3B91CEF3" w14:textId="63BD0788" w:rsidR="00D20CFF" w:rsidRDefault="00D20CFF" w:rsidP="00FB204E">
      <w:pPr>
        <w:autoSpaceDE w:val="0"/>
        <w:autoSpaceDN w:val="0"/>
        <w:adjustRightInd w:val="0"/>
        <w:rPr>
          <w:rFonts w:ascii="Arial Black" w:hAnsi="Arial Black" w:cs="Arial"/>
          <w:iCs/>
          <w:noProof/>
          <w:color w:val="1F497D" w:themeColor="text2"/>
          <w:sz w:val="22"/>
          <w:szCs w:val="22"/>
        </w:rPr>
      </w:pPr>
    </w:p>
    <w:p w14:paraId="65D6E2A4" w14:textId="7FC19F8A" w:rsidR="00D20CFF" w:rsidRDefault="00D20CFF" w:rsidP="00FB204E">
      <w:pPr>
        <w:autoSpaceDE w:val="0"/>
        <w:autoSpaceDN w:val="0"/>
        <w:adjustRightInd w:val="0"/>
        <w:rPr>
          <w:rFonts w:ascii="Arial Black" w:hAnsi="Arial Black" w:cs="Arial"/>
          <w:iCs/>
          <w:noProof/>
          <w:color w:val="1F497D" w:themeColor="text2"/>
          <w:sz w:val="22"/>
          <w:szCs w:val="22"/>
        </w:rPr>
      </w:pPr>
    </w:p>
    <w:p w14:paraId="42127BE6" w14:textId="5A280FAE" w:rsidR="00D20CFF" w:rsidRPr="00684E2E" w:rsidRDefault="00D20CFF" w:rsidP="00FB204E">
      <w:pPr>
        <w:autoSpaceDE w:val="0"/>
        <w:autoSpaceDN w:val="0"/>
        <w:adjustRightInd w:val="0"/>
        <w:rPr>
          <w:rFonts w:ascii="Arial Black" w:hAnsi="Arial Black" w:cs="Arial"/>
          <w:iCs/>
          <w:noProof/>
          <w:color w:val="1F497D" w:themeColor="text2"/>
          <w:sz w:val="32"/>
          <w:szCs w:val="22"/>
        </w:rPr>
      </w:pPr>
    </w:p>
    <w:p w14:paraId="4DEE59FB" w14:textId="77777777" w:rsidR="00D20CFF" w:rsidRDefault="00D20CFF" w:rsidP="00FB204E">
      <w:pPr>
        <w:autoSpaceDE w:val="0"/>
        <w:autoSpaceDN w:val="0"/>
        <w:adjustRightInd w:val="0"/>
        <w:rPr>
          <w:rFonts w:ascii="Arial Black" w:hAnsi="Arial Black" w:cs="Arial"/>
          <w:iCs/>
          <w:noProof/>
          <w:color w:val="1F497D" w:themeColor="text2"/>
          <w:sz w:val="22"/>
          <w:szCs w:val="22"/>
        </w:rPr>
      </w:pPr>
    </w:p>
    <w:p w14:paraId="1A045ACE" w14:textId="329EB98F" w:rsidR="00B30599" w:rsidRDefault="00B30599" w:rsidP="00FB204E">
      <w:pPr>
        <w:autoSpaceDE w:val="0"/>
        <w:autoSpaceDN w:val="0"/>
        <w:adjustRightInd w:val="0"/>
        <w:rPr>
          <w:rFonts w:ascii="Arial Narrow" w:hAnsi="Arial Narrow" w:cs="Arial"/>
          <w:iCs/>
          <w:noProof/>
          <w:color w:val="1F497D" w:themeColor="text2"/>
          <w:sz w:val="22"/>
          <w:szCs w:val="22"/>
        </w:rPr>
      </w:pPr>
      <w:r w:rsidRPr="002E3E15">
        <w:rPr>
          <w:rFonts w:ascii="Arial Black" w:hAnsi="Arial Black" w:cs="Arial"/>
          <w:b/>
          <w:iCs/>
          <w:noProof/>
          <w:color w:val="1F497D" w:themeColor="text2"/>
          <w:sz w:val="22"/>
          <w:szCs w:val="22"/>
        </w:rPr>
        <w:t>MOVIME</w:t>
      </w:r>
      <w:r w:rsidR="0012253F">
        <w:rPr>
          <w:rFonts w:ascii="Arial Black" w:hAnsi="Arial Black" w:cs="Arial"/>
          <w:b/>
          <w:iCs/>
          <w:noProof/>
          <w:color w:val="1F497D" w:themeColor="text2"/>
          <w:sz w:val="22"/>
          <w:szCs w:val="22"/>
        </w:rPr>
        <w:t xml:space="preserve">NTO MIGRATORIO CON L’ESTERO DELLA POPOLAZIONE </w:t>
      </w:r>
      <w:r w:rsidR="002E3E15">
        <w:rPr>
          <w:rFonts w:ascii="Arial Black" w:hAnsi="Arial Black" w:cs="Arial"/>
          <w:b/>
          <w:iCs/>
          <w:noProof/>
          <w:color w:val="1F497D" w:themeColor="text2"/>
          <w:sz w:val="22"/>
          <w:szCs w:val="22"/>
        </w:rPr>
        <w:t>RESIDENT</w:t>
      </w:r>
      <w:r w:rsidR="0012253F">
        <w:rPr>
          <w:rFonts w:ascii="Arial Black" w:hAnsi="Arial Black" w:cs="Arial"/>
          <w:b/>
          <w:iCs/>
          <w:noProof/>
          <w:color w:val="1F497D" w:themeColor="text2"/>
          <w:sz w:val="22"/>
          <w:szCs w:val="22"/>
        </w:rPr>
        <w:t>E</w:t>
      </w:r>
      <w:r w:rsidR="002E3E15">
        <w:rPr>
          <w:rFonts w:ascii="Arial Black" w:hAnsi="Arial Black" w:cs="Arial"/>
          <w:b/>
          <w:iCs/>
          <w:noProof/>
          <w:color w:val="1F497D" w:themeColor="text2"/>
          <w:sz w:val="22"/>
          <w:szCs w:val="22"/>
        </w:rPr>
        <w:t xml:space="preserve">, PER CITTADINANZA </w:t>
      </w:r>
      <w:r w:rsidRPr="002E3E15">
        <w:rPr>
          <w:rFonts w:ascii="Arial Black" w:hAnsi="Arial Black" w:cs="Arial"/>
          <w:b/>
          <w:iCs/>
          <w:noProof/>
          <w:color w:val="1F497D" w:themeColor="text2"/>
          <w:sz w:val="22"/>
          <w:szCs w:val="22"/>
        </w:rPr>
        <w:t>ITALIAN</w:t>
      </w:r>
      <w:r w:rsidR="002E3E15">
        <w:rPr>
          <w:rFonts w:ascii="Arial Black" w:hAnsi="Arial Black" w:cs="Arial"/>
          <w:b/>
          <w:iCs/>
          <w:noProof/>
          <w:color w:val="1F497D" w:themeColor="text2"/>
          <w:sz w:val="22"/>
          <w:szCs w:val="22"/>
        </w:rPr>
        <w:t>A/STRANIERA</w:t>
      </w:r>
      <w:r w:rsidR="00FB204E" w:rsidRPr="00FB204E">
        <w:rPr>
          <w:rFonts w:ascii="Arial Narrow" w:hAnsi="Arial Narrow" w:cs="Arial"/>
          <w:b/>
          <w:iCs/>
          <w:noProof/>
          <w:color w:val="1F497D" w:themeColor="text2"/>
          <w:sz w:val="22"/>
          <w:szCs w:val="22"/>
        </w:rPr>
        <w:t>.</w:t>
      </w:r>
      <w:r w:rsidR="00487101">
        <w:rPr>
          <w:rFonts w:ascii="Arial Narrow" w:hAnsi="Arial Narrow" w:cs="Arial"/>
          <w:b/>
          <w:iCs/>
          <w:noProof/>
          <w:color w:val="1F497D" w:themeColor="text2"/>
          <w:sz w:val="22"/>
          <w:szCs w:val="22"/>
        </w:rPr>
        <w:t xml:space="preserve"> </w:t>
      </w:r>
      <w:r w:rsidR="00487101" w:rsidRPr="0012394C">
        <w:rPr>
          <w:rFonts w:ascii="Arial Narrow" w:hAnsi="Arial Narrow" w:cs="Arial"/>
          <w:iCs/>
          <w:noProof/>
          <w:color w:val="1F497D" w:themeColor="text2"/>
          <w:sz w:val="22"/>
          <w:szCs w:val="22"/>
        </w:rPr>
        <w:t>Ann</w:t>
      </w:r>
      <w:r w:rsidR="00487101">
        <w:rPr>
          <w:rFonts w:ascii="Arial Narrow" w:hAnsi="Arial Narrow" w:cs="Arial"/>
          <w:iCs/>
          <w:noProof/>
          <w:color w:val="1F497D" w:themeColor="text2"/>
          <w:sz w:val="22"/>
          <w:szCs w:val="22"/>
        </w:rPr>
        <w:t>i</w:t>
      </w:r>
      <w:r w:rsidR="00487101" w:rsidRPr="0012394C">
        <w:rPr>
          <w:rFonts w:ascii="Arial Narrow" w:hAnsi="Arial Narrow" w:cs="Arial"/>
          <w:iCs/>
          <w:noProof/>
          <w:color w:val="1F497D" w:themeColor="text2"/>
          <w:sz w:val="22"/>
          <w:szCs w:val="22"/>
        </w:rPr>
        <w:t xml:space="preserve"> </w:t>
      </w:r>
      <w:r w:rsidR="00A9638B">
        <w:rPr>
          <w:rFonts w:ascii="Arial Narrow" w:hAnsi="Arial Narrow" w:cs="Arial"/>
          <w:iCs/>
          <w:noProof/>
          <w:color w:val="1F497D" w:themeColor="text2"/>
          <w:sz w:val="22"/>
          <w:szCs w:val="22"/>
        </w:rPr>
        <w:t>2009</w:t>
      </w:r>
      <w:r>
        <w:rPr>
          <w:rFonts w:ascii="Arial Narrow" w:hAnsi="Arial Narrow" w:cs="Arial"/>
          <w:iCs/>
          <w:noProof/>
          <w:color w:val="1F497D" w:themeColor="text2"/>
          <w:sz w:val="22"/>
          <w:szCs w:val="22"/>
        </w:rPr>
        <w:t>-2018</w:t>
      </w:r>
    </w:p>
    <w:p w14:paraId="3E0B35A7" w14:textId="77777777" w:rsidR="004E1ED3" w:rsidRPr="00684E2E" w:rsidRDefault="004E1ED3" w:rsidP="00FB204E">
      <w:pPr>
        <w:autoSpaceDE w:val="0"/>
        <w:autoSpaceDN w:val="0"/>
        <w:adjustRightInd w:val="0"/>
        <w:rPr>
          <w:noProof/>
          <w:sz w:val="20"/>
        </w:rPr>
      </w:pPr>
    </w:p>
    <w:tbl>
      <w:tblPr>
        <w:tblW w:w="9639" w:type="dxa"/>
        <w:tblInd w:w="70" w:type="dxa"/>
        <w:tblCellMar>
          <w:left w:w="70" w:type="dxa"/>
          <w:right w:w="70" w:type="dxa"/>
        </w:tblCellMar>
        <w:tblLook w:val="04A0" w:firstRow="1" w:lastRow="0" w:firstColumn="1" w:lastColumn="0" w:noHBand="0" w:noVBand="1"/>
      </w:tblPr>
      <w:tblGrid>
        <w:gridCol w:w="940"/>
        <w:gridCol w:w="1033"/>
        <w:gridCol w:w="1130"/>
        <w:gridCol w:w="780"/>
        <w:gridCol w:w="836"/>
        <w:gridCol w:w="1078"/>
        <w:gridCol w:w="930"/>
        <w:gridCol w:w="1127"/>
        <w:gridCol w:w="1078"/>
        <w:gridCol w:w="1060"/>
      </w:tblGrid>
      <w:tr w:rsidR="004E1ED3" w:rsidRPr="004E1ED3" w14:paraId="49D38BAE" w14:textId="77777777" w:rsidTr="00684E2E">
        <w:trPr>
          <w:trHeight w:val="312"/>
        </w:trPr>
        <w:tc>
          <w:tcPr>
            <w:tcW w:w="944" w:type="dxa"/>
            <w:vMerge w:val="restart"/>
            <w:tcBorders>
              <w:top w:val="nil"/>
              <w:left w:val="nil"/>
              <w:bottom w:val="nil"/>
              <w:right w:val="single" w:sz="4" w:space="0" w:color="BFBFBF" w:themeColor="background1" w:themeShade="BF"/>
            </w:tcBorders>
            <w:shd w:val="clear" w:color="auto" w:fill="1F497D"/>
            <w:noWrap/>
            <w:vAlign w:val="center"/>
            <w:hideMark/>
          </w:tcPr>
          <w:p w14:paraId="34C36189" w14:textId="77777777" w:rsidR="004E1ED3" w:rsidRPr="004E1ED3" w:rsidRDefault="004E1ED3" w:rsidP="00684E2E">
            <w:pPr>
              <w:spacing w:before="40" w:after="20"/>
              <w:jc w:val="center"/>
              <w:rPr>
                <w:rFonts w:ascii="Arial Narrow" w:hAnsi="Arial Narrow" w:cs="Arial"/>
                <w:b/>
                <w:bCs/>
                <w:color w:val="FFFFFF"/>
                <w:sz w:val="18"/>
                <w:szCs w:val="18"/>
              </w:rPr>
            </w:pPr>
            <w:r w:rsidRPr="004E1ED3">
              <w:rPr>
                <w:rFonts w:ascii="Arial Narrow" w:hAnsi="Arial Narrow" w:cs="Arial"/>
                <w:b/>
                <w:bCs/>
                <w:color w:val="FFFFFF"/>
                <w:sz w:val="18"/>
                <w:szCs w:val="18"/>
              </w:rPr>
              <w:t>ANNI</w:t>
            </w:r>
          </w:p>
        </w:tc>
        <w:tc>
          <w:tcPr>
            <w:tcW w:w="2959" w:type="dxa"/>
            <w:gridSpan w:val="3"/>
            <w:tcBorders>
              <w:top w:val="nil"/>
              <w:left w:val="single" w:sz="4" w:space="0" w:color="BFBFBF" w:themeColor="background1" w:themeShade="BF"/>
              <w:bottom w:val="nil"/>
              <w:right w:val="single" w:sz="4" w:space="0" w:color="BFBFBF" w:themeColor="background1" w:themeShade="BF"/>
            </w:tcBorders>
            <w:shd w:val="clear" w:color="auto" w:fill="1F497D"/>
            <w:noWrap/>
            <w:vAlign w:val="center"/>
            <w:hideMark/>
          </w:tcPr>
          <w:p w14:paraId="46818416" w14:textId="77777777" w:rsidR="004E1ED3" w:rsidRPr="004E1ED3" w:rsidRDefault="004E1ED3" w:rsidP="00684E2E">
            <w:pPr>
              <w:spacing w:before="40" w:after="20"/>
              <w:jc w:val="center"/>
              <w:rPr>
                <w:rFonts w:ascii="Arial Narrow" w:hAnsi="Arial Narrow" w:cs="Arial"/>
                <w:b/>
                <w:bCs/>
                <w:color w:val="FFFFFF"/>
                <w:sz w:val="18"/>
                <w:szCs w:val="18"/>
              </w:rPr>
            </w:pPr>
            <w:r w:rsidRPr="004E1ED3">
              <w:rPr>
                <w:rFonts w:ascii="Arial Narrow" w:hAnsi="Arial Narrow" w:cs="Arial"/>
                <w:b/>
                <w:bCs/>
                <w:color w:val="FFFFFF"/>
                <w:sz w:val="18"/>
                <w:szCs w:val="18"/>
              </w:rPr>
              <w:t>TOTALE</w:t>
            </w:r>
          </w:p>
        </w:tc>
        <w:tc>
          <w:tcPr>
            <w:tcW w:w="2859" w:type="dxa"/>
            <w:gridSpan w:val="3"/>
            <w:tcBorders>
              <w:top w:val="nil"/>
              <w:left w:val="single" w:sz="4" w:space="0" w:color="BFBFBF" w:themeColor="background1" w:themeShade="BF"/>
              <w:bottom w:val="nil"/>
              <w:right w:val="single" w:sz="4" w:space="0" w:color="BFBFBF" w:themeColor="background1" w:themeShade="BF"/>
            </w:tcBorders>
            <w:shd w:val="clear" w:color="auto" w:fill="1F497D"/>
            <w:noWrap/>
            <w:vAlign w:val="center"/>
            <w:hideMark/>
          </w:tcPr>
          <w:p w14:paraId="14E63B19" w14:textId="1662269F" w:rsidR="004E1ED3" w:rsidRPr="004E1ED3" w:rsidRDefault="004E1ED3" w:rsidP="00684E2E">
            <w:pPr>
              <w:spacing w:before="40" w:after="20"/>
              <w:jc w:val="center"/>
              <w:rPr>
                <w:rFonts w:ascii="Arial Narrow" w:hAnsi="Arial Narrow" w:cs="Arial"/>
                <w:b/>
                <w:bCs/>
                <w:color w:val="FFFFFF"/>
                <w:sz w:val="18"/>
                <w:szCs w:val="18"/>
              </w:rPr>
            </w:pPr>
            <w:r w:rsidRPr="004E1ED3">
              <w:rPr>
                <w:rFonts w:ascii="Arial Narrow" w:hAnsi="Arial Narrow" w:cs="Arial"/>
                <w:b/>
                <w:bCs/>
                <w:color w:val="FFFFFF"/>
                <w:sz w:val="18"/>
                <w:szCs w:val="18"/>
              </w:rPr>
              <w:t>ITALIANI</w:t>
            </w:r>
          </w:p>
        </w:tc>
        <w:tc>
          <w:tcPr>
            <w:tcW w:w="3283" w:type="dxa"/>
            <w:gridSpan w:val="3"/>
            <w:tcBorders>
              <w:top w:val="nil"/>
              <w:left w:val="single" w:sz="4" w:space="0" w:color="BFBFBF" w:themeColor="background1" w:themeShade="BF"/>
              <w:bottom w:val="nil"/>
              <w:right w:val="nil"/>
            </w:tcBorders>
            <w:shd w:val="clear" w:color="auto" w:fill="1F497D"/>
            <w:noWrap/>
            <w:vAlign w:val="center"/>
            <w:hideMark/>
          </w:tcPr>
          <w:p w14:paraId="5F75EB5F" w14:textId="77777777" w:rsidR="004E1ED3" w:rsidRPr="004E1ED3" w:rsidRDefault="004E1ED3" w:rsidP="00684E2E">
            <w:pPr>
              <w:spacing w:before="40" w:after="20"/>
              <w:jc w:val="center"/>
              <w:rPr>
                <w:rFonts w:ascii="Arial Narrow" w:hAnsi="Arial Narrow" w:cs="Arial"/>
                <w:b/>
                <w:bCs/>
                <w:color w:val="FFFFFF"/>
                <w:sz w:val="18"/>
                <w:szCs w:val="18"/>
              </w:rPr>
            </w:pPr>
            <w:r w:rsidRPr="004E1ED3">
              <w:rPr>
                <w:rFonts w:ascii="Arial Narrow" w:hAnsi="Arial Narrow" w:cs="Arial"/>
                <w:b/>
                <w:bCs/>
                <w:color w:val="FFFFFF"/>
                <w:sz w:val="18"/>
                <w:szCs w:val="18"/>
              </w:rPr>
              <w:t>STRANIERI</w:t>
            </w:r>
          </w:p>
        </w:tc>
      </w:tr>
      <w:tr w:rsidR="004E1ED3" w:rsidRPr="004E1ED3" w14:paraId="33E9FFE8" w14:textId="77777777" w:rsidTr="00684E2E">
        <w:trPr>
          <w:trHeight w:val="312"/>
        </w:trPr>
        <w:tc>
          <w:tcPr>
            <w:tcW w:w="944" w:type="dxa"/>
            <w:vMerge/>
            <w:tcBorders>
              <w:top w:val="nil"/>
              <w:left w:val="nil"/>
              <w:right w:val="single" w:sz="4" w:space="0" w:color="BFBFBF" w:themeColor="background1" w:themeShade="BF"/>
            </w:tcBorders>
            <w:shd w:val="clear" w:color="auto" w:fill="1F497D"/>
            <w:vAlign w:val="center"/>
            <w:hideMark/>
          </w:tcPr>
          <w:p w14:paraId="53A268D4" w14:textId="77777777" w:rsidR="002E3E15" w:rsidRPr="004E1ED3" w:rsidRDefault="002E3E15" w:rsidP="00684E2E">
            <w:pPr>
              <w:spacing w:before="40" w:after="20"/>
              <w:rPr>
                <w:rFonts w:ascii="Arial Narrow" w:hAnsi="Arial Narrow" w:cs="Arial"/>
                <w:b/>
                <w:bCs/>
                <w:color w:val="FFFFFF"/>
                <w:sz w:val="18"/>
                <w:szCs w:val="18"/>
              </w:rPr>
            </w:pPr>
          </w:p>
        </w:tc>
        <w:tc>
          <w:tcPr>
            <w:tcW w:w="1039" w:type="dxa"/>
            <w:tcBorders>
              <w:top w:val="nil"/>
              <w:left w:val="single" w:sz="4" w:space="0" w:color="BFBFBF" w:themeColor="background1" w:themeShade="BF"/>
              <w:right w:val="single" w:sz="4" w:space="0" w:color="BFBFBF" w:themeColor="background1" w:themeShade="BF"/>
            </w:tcBorders>
            <w:shd w:val="clear" w:color="auto" w:fill="1F497D"/>
            <w:noWrap/>
            <w:vAlign w:val="center"/>
            <w:hideMark/>
          </w:tcPr>
          <w:p w14:paraId="189C65F5" w14:textId="5DC22C76" w:rsidR="002E3E15" w:rsidRPr="004E1ED3" w:rsidRDefault="002E3E15" w:rsidP="00684E2E">
            <w:pPr>
              <w:spacing w:before="40" w:after="20"/>
              <w:jc w:val="right"/>
              <w:rPr>
                <w:rFonts w:ascii="Arial Narrow" w:hAnsi="Arial Narrow" w:cs="Arial"/>
                <w:b/>
                <w:bCs/>
                <w:color w:val="FFFFFF"/>
                <w:sz w:val="18"/>
                <w:szCs w:val="18"/>
              </w:rPr>
            </w:pPr>
            <w:r w:rsidRPr="004E1ED3">
              <w:rPr>
                <w:rFonts w:ascii="Arial Narrow" w:hAnsi="Arial Narrow" w:cs="Arial"/>
                <w:b/>
                <w:bCs/>
                <w:color w:val="FFFFFF"/>
                <w:sz w:val="18"/>
                <w:szCs w:val="18"/>
              </w:rPr>
              <w:t>Iscrizioni</w:t>
            </w:r>
          </w:p>
        </w:tc>
        <w:tc>
          <w:tcPr>
            <w:tcW w:w="1136" w:type="dxa"/>
            <w:tcBorders>
              <w:top w:val="nil"/>
              <w:left w:val="single" w:sz="4" w:space="0" w:color="BFBFBF" w:themeColor="background1" w:themeShade="BF"/>
              <w:right w:val="single" w:sz="4" w:space="0" w:color="BFBFBF" w:themeColor="background1" w:themeShade="BF"/>
            </w:tcBorders>
            <w:shd w:val="clear" w:color="auto" w:fill="1F497D"/>
            <w:noWrap/>
            <w:vAlign w:val="center"/>
            <w:hideMark/>
          </w:tcPr>
          <w:p w14:paraId="430032C8" w14:textId="4B0F1207" w:rsidR="002E3E15" w:rsidRPr="004E1ED3" w:rsidRDefault="002E3E15" w:rsidP="00684E2E">
            <w:pPr>
              <w:spacing w:before="40" w:after="20"/>
              <w:jc w:val="right"/>
              <w:rPr>
                <w:rFonts w:ascii="Arial Narrow" w:hAnsi="Arial Narrow" w:cs="Arial"/>
                <w:b/>
                <w:bCs/>
                <w:color w:val="FFFFFF"/>
                <w:sz w:val="18"/>
                <w:szCs w:val="18"/>
              </w:rPr>
            </w:pPr>
            <w:r w:rsidRPr="004E1ED3">
              <w:rPr>
                <w:rFonts w:ascii="Arial Narrow" w:hAnsi="Arial Narrow" w:cs="Arial"/>
                <w:b/>
                <w:bCs/>
                <w:color w:val="FFFFFF"/>
                <w:sz w:val="18"/>
                <w:szCs w:val="18"/>
              </w:rPr>
              <w:t>Cancellazioni</w:t>
            </w:r>
          </w:p>
        </w:tc>
        <w:tc>
          <w:tcPr>
            <w:tcW w:w="784" w:type="dxa"/>
            <w:tcBorders>
              <w:top w:val="nil"/>
              <w:left w:val="single" w:sz="4" w:space="0" w:color="BFBFBF" w:themeColor="background1" w:themeShade="BF"/>
              <w:right w:val="single" w:sz="4" w:space="0" w:color="BFBFBF" w:themeColor="background1" w:themeShade="BF"/>
            </w:tcBorders>
            <w:shd w:val="clear" w:color="auto" w:fill="1F497D"/>
            <w:noWrap/>
            <w:vAlign w:val="center"/>
            <w:hideMark/>
          </w:tcPr>
          <w:p w14:paraId="79A90722" w14:textId="7BB3398C" w:rsidR="002E3E15" w:rsidRPr="004E1ED3" w:rsidRDefault="002E3E15" w:rsidP="00684E2E">
            <w:pPr>
              <w:spacing w:before="40" w:after="20"/>
              <w:jc w:val="right"/>
              <w:rPr>
                <w:rFonts w:ascii="Arial Narrow" w:hAnsi="Arial Narrow" w:cs="Arial"/>
                <w:b/>
                <w:bCs/>
                <w:color w:val="FFFFFF"/>
                <w:sz w:val="18"/>
                <w:szCs w:val="18"/>
              </w:rPr>
            </w:pPr>
            <w:r w:rsidRPr="004E1ED3">
              <w:rPr>
                <w:rFonts w:ascii="Arial Narrow" w:hAnsi="Arial Narrow" w:cs="Arial"/>
                <w:b/>
                <w:bCs/>
                <w:color w:val="FFFFFF"/>
                <w:sz w:val="18"/>
                <w:szCs w:val="18"/>
              </w:rPr>
              <w:t>Saldo</w:t>
            </w:r>
          </w:p>
        </w:tc>
        <w:tc>
          <w:tcPr>
            <w:tcW w:w="840" w:type="dxa"/>
            <w:tcBorders>
              <w:top w:val="nil"/>
              <w:left w:val="single" w:sz="4" w:space="0" w:color="BFBFBF" w:themeColor="background1" w:themeShade="BF"/>
              <w:right w:val="single" w:sz="4" w:space="0" w:color="BFBFBF" w:themeColor="background1" w:themeShade="BF"/>
            </w:tcBorders>
            <w:shd w:val="clear" w:color="auto" w:fill="1F497D"/>
            <w:noWrap/>
            <w:vAlign w:val="center"/>
            <w:hideMark/>
          </w:tcPr>
          <w:p w14:paraId="64839371" w14:textId="78ACF09C" w:rsidR="002E3E15" w:rsidRPr="004E1ED3" w:rsidRDefault="002E3E15" w:rsidP="00684E2E">
            <w:pPr>
              <w:spacing w:before="40" w:after="20"/>
              <w:jc w:val="right"/>
              <w:rPr>
                <w:rFonts w:ascii="Arial Narrow" w:hAnsi="Arial Narrow" w:cs="Arial"/>
                <w:b/>
                <w:bCs/>
                <w:color w:val="FFFFFF"/>
                <w:sz w:val="18"/>
                <w:szCs w:val="18"/>
              </w:rPr>
            </w:pPr>
            <w:r w:rsidRPr="004E1ED3">
              <w:rPr>
                <w:rFonts w:ascii="Arial Narrow" w:hAnsi="Arial Narrow" w:cs="Arial"/>
                <w:b/>
                <w:bCs/>
                <w:color w:val="FFFFFF"/>
                <w:sz w:val="18"/>
                <w:szCs w:val="18"/>
              </w:rPr>
              <w:t>Iscrizioni</w:t>
            </w:r>
          </w:p>
        </w:tc>
        <w:tc>
          <w:tcPr>
            <w:tcW w:w="1084" w:type="dxa"/>
            <w:tcBorders>
              <w:top w:val="nil"/>
              <w:left w:val="single" w:sz="4" w:space="0" w:color="BFBFBF" w:themeColor="background1" w:themeShade="BF"/>
              <w:right w:val="single" w:sz="4" w:space="0" w:color="BFBFBF" w:themeColor="background1" w:themeShade="BF"/>
            </w:tcBorders>
            <w:shd w:val="clear" w:color="auto" w:fill="1F497D"/>
            <w:noWrap/>
            <w:vAlign w:val="center"/>
            <w:hideMark/>
          </w:tcPr>
          <w:p w14:paraId="26BC4C11" w14:textId="58D4A79C" w:rsidR="002E3E15" w:rsidRPr="004E1ED3" w:rsidRDefault="002E3E15" w:rsidP="00684E2E">
            <w:pPr>
              <w:spacing w:before="40" w:after="20"/>
              <w:ind w:left="-111"/>
              <w:jc w:val="right"/>
              <w:rPr>
                <w:rFonts w:ascii="Arial Narrow" w:hAnsi="Arial Narrow" w:cs="Arial"/>
                <w:b/>
                <w:bCs/>
                <w:color w:val="FFFFFF"/>
                <w:sz w:val="18"/>
                <w:szCs w:val="18"/>
              </w:rPr>
            </w:pPr>
            <w:r w:rsidRPr="004E1ED3">
              <w:rPr>
                <w:rFonts w:ascii="Arial Narrow" w:hAnsi="Arial Narrow" w:cs="Arial"/>
                <w:b/>
                <w:bCs/>
                <w:color w:val="FFFFFF"/>
                <w:sz w:val="18"/>
                <w:szCs w:val="18"/>
              </w:rPr>
              <w:t>Cancellazioni</w:t>
            </w:r>
          </w:p>
        </w:tc>
        <w:tc>
          <w:tcPr>
            <w:tcW w:w="935" w:type="dxa"/>
            <w:tcBorders>
              <w:top w:val="nil"/>
              <w:left w:val="single" w:sz="4" w:space="0" w:color="BFBFBF" w:themeColor="background1" w:themeShade="BF"/>
              <w:right w:val="single" w:sz="4" w:space="0" w:color="BFBFBF" w:themeColor="background1" w:themeShade="BF"/>
            </w:tcBorders>
            <w:shd w:val="clear" w:color="auto" w:fill="1F497D"/>
            <w:noWrap/>
            <w:vAlign w:val="center"/>
            <w:hideMark/>
          </w:tcPr>
          <w:p w14:paraId="20BEDEE0" w14:textId="2F8C3FBD" w:rsidR="002E3E15" w:rsidRPr="004E1ED3" w:rsidRDefault="002E3E15" w:rsidP="00684E2E">
            <w:pPr>
              <w:spacing w:before="40" w:after="20"/>
              <w:jc w:val="right"/>
              <w:rPr>
                <w:rFonts w:ascii="Arial Narrow" w:hAnsi="Arial Narrow" w:cs="Arial"/>
                <w:b/>
                <w:bCs/>
                <w:color w:val="FFFFFF"/>
                <w:sz w:val="18"/>
                <w:szCs w:val="18"/>
              </w:rPr>
            </w:pPr>
            <w:r w:rsidRPr="004E1ED3">
              <w:rPr>
                <w:rFonts w:ascii="Arial Narrow" w:hAnsi="Arial Narrow" w:cs="Arial"/>
                <w:b/>
                <w:bCs/>
                <w:color w:val="FFFFFF"/>
                <w:sz w:val="18"/>
                <w:szCs w:val="18"/>
              </w:rPr>
              <w:t>Saldo</w:t>
            </w:r>
          </w:p>
        </w:tc>
        <w:tc>
          <w:tcPr>
            <w:tcW w:w="1133" w:type="dxa"/>
            <w:tcBorders>
              <w:top w:val="nil"/>
              <w:left w:val="single" w:sz="4" w:space="0" w:color="BFBFBF" w:themeColor="background1" w:themeShade="BF"/>
              <w:right w:val="single" w:sz="4" w:space="0" w:color="BFBFBF" w:themeColor="background1" w:themeShade="BF"/>
            </w:tcBorders>
            <w:shd w:val="clear" w:color="auto" w:fill="1F497D"/>
            <w:noWrap/>
            <w:vAlign w:val="center"/>
            <w:hideMark/>
          </w:tcPr>
          <w:p w14:paraId="557901C7" w14:textId="71D0E620" w:rsidR="002E3E15" w:rsidRPr="004E1ED3" w:rsidRDefault="002E3E15" w:rsidP="00684E2E">
            <w:pPr>
              <w:spacing w:before="40" w:after="20"/>
              <w:jc w:val="right"/>
              <w:rPr>
                <w:rFonts w:ascii="Arial Narrow" w:hAnsi="Arial Narrow" w:cs="Arial"/>
                <w:b/>
                <w:bCs/>
                <w:color w:val="FFFFFF"/>
                <w:sz w:val="18"/>
                <w:szCs w:val="18"/>
              </w:rPr>
            </w:pPr>
            <w:r w:rsidRPr="004E1ED3">
              <w:rPr>
                <w:rFonts w:ascii="Arial Narrow" w:hAnsi="Arial Narrow" w:cs="Arial"/>
                <w:b/>
                <w:bCs/>
                <w:color w:val="FFFFFF"/>
                <w:sz w:val="18"/>
                <w:szCs w:val="18"/>
              </w:rPr>
              <w:t>Iscrizioni</w:t>
            </w:r>
          </w:p>
        </w:tc>
        <w:tc>
          <w:tcPr>
            <w:tcW w:w="1084" w:type="dxa"/>
            <w:tcBorders>
              <w:top w:val="nil"/>
              <w:left w:val="single" w:sz="4" w:space="0" w:color="BFBFBF" w:themeColor="background1" w:themeShade="BF"/>
              <w:right w:val="single" w:sz="4" w:space="0" w:color="BFBFBF" w:themeColor="background1" w:themeShade="BF"/>
            </w:tcBorders>
            <w:shd w:val="clear" w:color="auto" w:fill="1F497D"/>
            <w:noWrap/>
            <w:vAlign w:val="center"/>
            <w:hideMark/>
          </w:tcPr>
          <w:p w14:paraId="1E46174C" w14:textId="41A41949" w:rsidR="002E3E15" w:rsidRPr="004E1ED3" w:rsidRDefault="002E3E15" w:rsidP="00684E2E">
            <w:pPr>
              <w:spacing w:before="40" w:after="20"/>
              <w:ind w:left="-127"/>
              <w:jc w:val="right"/>
              <w:rPr>
                <w:rFonts w:ascii="Arial Narrow" w:hAnsi="Arial Narrow" w:cs="Arial"/>
                <w:b/>
                <w:bCs/>
                <w:color w:val="FFFFFF"/>
                <w:sz w:val="18"/>
                <w:szCs w:val="18"/>
              </w:rPr>
            </w:pPr>
            <w:r w:rsidRPr="004E1ED3">
              <w:rPr>
                <w:rFonts w:ascii="Arial Narrow" w:hAnsi="Arial Narrow" w:cs="Arial"/>
                <w:b/>
                <w:bCs/>
                <w:color w:val="FFFFFF"/>
                <w:sz w:val="18"/>
                <w:szCs w:val="18"/>
              </w:rPr>
              <w:t>Cancellazioni</w:t>
            </w:r>
          </w:p>
        </w:tc>
        <w:tc>
          <w:tcPr>
            <w:tcW w:w="1066" w:type="dxa"/>
            <w:tcBorders>
              <w:top w:val="nil"/>
              <w:left w:val="single" w:sz="4" w:space="0" w:color="BFBFBF" w:themeColor="background1" w:themeShade="BF"/>
              <w:right w:val="nil"/>
            </w:tcBorders>
            <w:shd w:val="clear" w:color="auto" w:fill="1F497D"/>
            <w:noWrap/>
            <w:vAlign w:val="center"/>
            <w:hideMark/>
          </w:tcPr>
          <w:p w14:paraId="01F87696" w14:textId="51F09F21" w:rsidR="002E3E15" w:rsidRPr="004E1ED3" w:rsidRDefault="002E3E15" w:rsidP="00684E2E">
            <w:pPr>
              <w:spacing w:before="40" w:after="20"/>
              <w:jc w:val="right"/>
              <w:rPr>
                <w:rFonts w:ascii="Arial Narrow" w:hAnsi="Arial Narrow" w:cs="Arial"/>
                <w:b/>
                <w:bCs/>
                <w:color w:val="FFFFFF"/>
                <w:sz w:val="18"/>
                <w:szCs w:val="18"/>
              </w:rPr>
            </w:pPr>
            <w:r w:rsidRPr="004E1ED3">
              <w:rPr>
                <w:rFonts w:ascii="Arial Narrow" w:hAnsi="Arial Narrow" w:cs="Arial"/>
                <w:b/>
                <w:bCs/>
                <w:color w:val="FFFFFF"/>
                <w:sz w:val="18"/>
                <w:szCs w:val="18"/>
              </w:rPr>
              <w:t>Saldo</w:t>
            </w:r>
          </w:p>
        </w:tc>
      </w:tr>
      <w:tr w:rsidR="00225916" w:rsidRPr="004E1ED3" w14:paraId="7A204810" w14:textId="77777777" w:rsidTr="00684E2E">
        <w:trPr>
          <w:trHeight w:val="270"/>
        </w:trPr>
        <w:tc>
          <w:tcPr>
            <w:tcW w:w="944" w:type="dxa"/>
            <w:tcBorders>
              <w:top w:val="nil"/>
              <w:left w:val="nil"/>
              <w:bottom w:val="single" w:sz="4" w:space="0" w:color="FFFFFF" w:themeColor="background1"/>
              <w:right w:val="single" w:sz="4" w:space="0" w:color="BFBFBF" w:themeColor="background1" w:themeShade="BF"/>
            </w:tcBorders>
            <w:shd w:val="clear" w:color="auto" w:fill="auto"/>
            <w:noWrap/>
            <w:vAlign w:val="center"/>
            <w:hideMark/>
          </w:tcPr>
          <w:p w14:paraId="330B2F97" w14:textId="77777777" w:rsidR="002E3E15" w:rsidRPr="004E1ED3" w:rsidRDefault="002E3E15" w:rsidP="00684E2E">
            <w:pPr>
              <w:spacing w:before="40" w:after="20"/>
              <w:jc w:val="center"/>
              <w:rPr>
                <w:rFonts w:ascii="Arial Narrow" w:hAnsi="Arial Narrow" w:cs="Arial"/>
                <w:color w:val="1F497D" w:themeColor="text2"/>
                <w:sz w:val="18"/>
                <w:szCs w:val="18"/>
              </w:rPr>
            </w:pPr>
            <w:r w:rsidRPr="004E1ED3">
              <w:rPr>
                <w:rFonts w:ascii="Arial Narrow" w:hAnsi="Arial Narrow" w:cs="Arial"/>
                <w:color w:val="1F497D" w:themeColor="text2"/>
                <w:sz w:val="18"/>
                <w:szCs w:val="18"/>
              </w:rPr>
              <w:t>2009</w:t>
            </w:r>
          </w:p>
        </w:tc>
        <w:tc>
          <w:tcPr>
            <w:tcW w:w="1039" w:type="dxa"/>
            <w:tcBorders>
              <w:top w:val="nil"/>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4F2D8933" w14:textId="466640D4"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421.859</w:t>
            </w:r>
          </w:p>
        </w:tc>
        <w:tc>
          <w:tcPr>
            <w:tcW w:w="1136" w:type="dxa"/>
            <w:tcBorders>
              <w:top w:val="nil"/>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20F53F19" w14:textId="2A816D69"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64.921</w:t>
            </w:r>
          </w:p>
        </w:tc>
        <w:tc>
          <w:tcPr>
            <w:tcW w:w="784" w:type="dxa"/>
            <w:tcBorders>
              <w:top w:val="nil"/>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7B826630" w14:textId="2E6272E1"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356.938</w:t>
            </w:r>
          </w:p>
        </w:tc>
        <w:tc>
          <w:tcPr>
            <w:tcW w:w="840" w:type="dxa"/>
            <w:tcBorders>
              <w:top w:val="nil"/>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549743E9" w14:textId="10A48B59"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29.330</w:t>
            </w:r>
          </w:p>
        </w:tc>
        <w:tc>
          <w:tcPr>
            <w:tcW w:w="1084" w:type="dxa"/>
            <w:tcBorders>
              <w:top w:val="nil"/>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4A1520E1" w14:textId="65CC291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39.024</w:t>
            </w:r>
          </w:p>
        </w:tc>
        <w:tc>
          <w:tcPr>
            <w:tcW w:w="935" w:type="dxa"/>
            <w:tcBorders>
              <w:top w:val="nil"/>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279B2C69" w14:textId="4E705A08"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- 9.694</w:t>
            </w:r>
          </w:p>
        </w:tc>
        <w:tc>
          <w:tcPr>
            <w:tcW w:w="1133" w:type="dxa"/>
            <w:tcBorders>
              <w:top w:val="nil"/>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0703755D" w14:textId="57F434E9"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392.529</w:t>
            </w:r>
          </w:p>
        </w:tc>
        <w:tc>
          <w:tcPr>
            <w:tcW w:w="1084" w:type="dxa"/>
            <w:tcBorders>
              <w:top w:val="nil"/>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2ABA339F" w14:textId="3A810E63"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25.897</w:t>
            </w:r>
          </w:p>
        </w:tc>
        <w:tc>
          <w:tcPr>
            <w:tcW w:w="1066" w:type="dxa"/>
            <w:tcBorders>
              <w:top w:val="nil"/>
              <w:left w:val="single" w:sz="4" w:space="0" w:color="BFBFBF" w:themeColor="background1" w:themeShade="BF"/>
              <w:bottom w:val="single" w:sz="4" w:space="0" w:color="FFFFFF" w:themeColor="background1"/>
              <w:right w:val="nil"/>
            </w:tcBorders>
            <w:shd w:val="clear" w:color="auto" w:fill="D9D9D9" w:themeFill="background1" w:themeFillShade="D9"/>
            <w:noWrap/>
            <w:vAlign w:val="center"/>
            <w:hideMark/>
          </w:tcPr>
          <w:p w14:paraId="445B3580" w14:textId="39A1B8B7"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366.632</w:t>
            </w:r>
          </w:p>
        </w:tc>
      </w:tr>
      <w:tr w:rsidR="00225916" w:rsidRPr="004E1ED3" w14:paraId="28A49815" w14:textId="77777777" w:rsidTr="00684E2E">
        <w:trPr>
          <w:trHeight w:val="270"/>
        </w:trPr>
        <w:tc>
          <w:tcPr>
            <w:tcW w:w="944" w:type="dxa"/>
            <w:tcBorders>
              <w:top w:val="single" w:sz="4" w:space="0" w:color="FFFFFF" w:themeColor="background1"/>
              <w:left w:val="nil"/>
              <w:bottom w:val="single" w:sz="4" w:space="0" w:color="FFFFFF" w:themeColor="background1"/>
              <w:right w:val="single" w:sz="4" w:space="0" w:color="BFBFBF" w:themeColor="background1" w:themeShade="BF"/>
            </w:tcBorders>
            <w:shd w:val="clear" w:color="auto" w:fill="auto"/>
            <w:noWrap/>
            <w:vAlign w:val="center"/>
            <w:hideMark/>
          </w:tcPr>
          <w:p w14:paraId="4379827A" w14:textId="77777777" w:rsidR="002E3E15" w:rsidRPr="004E1ED3" w:rsidRDefault="002E3E15" w:rsidP="00684E2E">
            <w:pPr>
              <w:spacing w:before="40" w:after="20"/>
              <w:jc w:val="center"/>
              <w:rPr>
                <w:rFonts w:ascii="Arial Narrow" w:hAnsi="Arial Narrow" w:cs="Arial"/>
                <w:color w:val="1F497D" w:themeColor="text2"/>
                <w:sz w:val="18"/>
                <w:szCs w:val="18"/>
              </w:rPr>
            </w:pPr>
            <w:r w:rsidRPr="004E1ED3">
              <w:rPr>
                <w:rFonts w:ascii="Arial Narrow" w:hAnsi="Arial Narrow" w:cs="Arial"/>
                <w:color w:val="1F497D" w:themeColor="text2"/>
                <w:sz w:val="18"/>
                <w:szCs w:val="18"/>
              </w:rPr>
              <w:t>2010</w:t>
            </w:r>
          </w:p>
        </w:tc>
        <w:tc>
          <w:tcPr>
            <w:tcW w:w="1039"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278F551E" w14:textId="1F2E1469"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447.744</w:t>
            </w:r>
          </w:p>
        </w:tc>
        <w:tc>
          <w:tcPr>
            <w:tcW w:w="1136"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40C12EB9" w14:textId="71ECF52D"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67.501</w:t>
            </w:r>
          </w:p>
        </w:tc>
        <w:tc>
          <w:tcPr>
            <w:tcW w:w="7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4E2A4C58" w14:textId="0C316CA1"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380.243</w:t>
            </w:r>
          </w:p>
        </w:tc>
        <w:tc>
          <w:tcPr>
            <w:tcW w:w="840"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47BF9D57" w14:textId="11EC9D31"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28.192</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1D03F67D" w14:textId="0E6AE07E"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39.545</w:t>
            </w:r>
          </w:p>
        </w:tc>
        <w:tc>
          <w:tcPr>
            <w:tcW w:w="935"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3C13D1C2" w14:textId="35B254BF"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- 11.353</w:t>
            </w:r>
          </w:p>
        </w:tc>
        <w:tc>
          <w:tcPr>
            <w:tcW w:w="1133"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5F62C9BB" w14:textId="5E1E5669"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419.552</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6BE1E4FF" w14:textId="2A41225B"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27.956</w:t>
            </w:r>
          </w:p>
        </w:tc>
        <w:tc>
          <w:tcPr>
            <w:tcW w:w="1066" w:type="dxa"/>
            <w:tcBorders>
              <w:top w:val="single" w:sz="4" w:space="0" w:color="FFFFFF" w:themeColor="background1"/>
              <w:left w:val="single" w:sz="4" w:space="0" w:color="BFBFBF" w:themeColor="background1" w:themeShade="BF"/>
              <w:bottom w:val="single" w:sz="4" w:space="0" w:color="FFFFFF" w:themeColor="background1"/>
              <w:right w:val="nil"/>
            </w:tcBorders>
            <w:shd w:val="clear" w:color="auto" w:fill="D9D9D9" w:themeFill="background1" w:themeFillShade="D9"/>
            <w:noWrap/>
            <w:vAlign w:val="center"/>
            <w:hideMark/>
          </w:tcPr>
          <w:p w14:paraId="541AF136" w14:textId="0099E814"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391.596</w:t>
            </w:r>
          </w:p>
        </w:tc>
      </w:tr>
      <w:tr w:rsidR="00225916" w:rsidRPr="004E1ED3" w14:paraId="68169BD7" w14:textId="77777777" w:rsidTr="00684E2E">
        <w:trPr>
          <w:trHeight w:val="270"/>
        </w:trPr>
        <w:tc>
          <w:tcPr>
            <w:tcW w:w="944" w:type="dxa"/>
            <w:tcBorders>
              <w:top w:val="single" w:sz="4" w:space="0" w:color="FFFFFF" w:themeColor="background1"/>
              <w:left w:val="nil"/>
              <w:bottom w:val="single" w:sz="4" w:space="0" w:color="FFFFFF" w:themeColor="background1"/>
              <w:right w:val="single" w:sz="4" w:space="0" w:color="BFBFBF" w:themeColor="background1" w:themeShade="BF"/>
            </w:tcBorders>
            <w:shd w:val="clear" w:color="auto" w:fill="auto"/>
            <w:noWrap/>
            <w:vAlign w:val="center"/>
            <w:hideMark/>
          </w:tcPr>
          <w:p w14:paraId="4D6B33F2" w14:textId="77777777" w:rsidR="002E3E15" w:rsidRPr="004E1ED3" w:rsidRDefault="002E3E15" w:rsidP="00684E2E">
            <w:pPr>
              <w:spacing w:before="40" w:after="20"/>
              <w:jc w:val="center"/>
              <w:rPr>
                <w:rFonts w:ascii="Arial Narrow" w:hAnsi="Arial Narrow" w:cs="Arial"/>
                <w:color w:val="1F497D" w:themeColor="text2"/>
                <w:sz w:val="18"/>
                <w:szCs w:val="18"/>
              </w:rPr>
            </w:pPr>
            <w:r w:rsidRPr="004E1ED3">
              <w:rPr>
                <w:rFonts w:ascii="Arial Narrow" w:hAnsi="Arial Narrow" w:cs="Arial"/>
                <w:color w:val="1F497D" w:themeColor="text2"/>
                <w:sz w:val="18"/>
                <w:szCs w:val="18"/>
              </w:rPr>
              <w:t>2011</w:t>
            </w:r>
          </w:p>
        </w:tc>
        <w:tc>
          <w:tcPr>
            <w:tcW w:w="1039"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24B4AE59" w14:textId="1CE11E86"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385.793</w:t>
            </w:r>
          </w:p>
        </w:tc>
        <w:tc>
          <w:tcPr>
            <w:tcW w:w="1136"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4291413B" w14:textId="0A2DE6EA"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82.461</w:t>
            </w:r>
          </w:p>
        </w:tc>
        <w:tc>
          <w:tcPr>
            <w:tcW w:w="7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5980576A" w14:textId="1537285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303.332</w:t>
            </w:r>
          </w:p>
        </w:tc>
        <w:tc>
          <w:tcPr>
            <w:tcW w:w="840"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2BA65553" w14:textId="5418B247"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31.466</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2724267F" w14:textId="00F1532A"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50.057</w:t>
            </w:r>
          </w:p>
        </w:tc>
        <w:tc>
          <w:tcPr>
            <w:tcW w:w="935"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30E5ABB5" w14:textId="1569E853"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- 18.591</w:t>
            </w:r>
          </w:p>
        </w:tc>
        <w:tc>
          <w:tcPr>
            <w:tcW w:w="1133"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75F902DC" w14:textId="76FA8A96"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354.327</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6CEFB665" w14:textId="152DA9D0"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32.404</w:t>
            </w:r>
          </w:p>
        </w:tc>
        <w:tc>
          <w:tcPr>
            <w:tcW w:w="1066" w:type="dxa"/>
            <w:tcBorders>
              <w:top w:val="single" w:sz="4" w:space="0" w:color="FFFFFF" w:themeColor="background1"/>
              <w:left w:val="single" w:sz="4" w:space="0" w:color="BFBFBF" w:themeColor="background1" w:themeShade="BF"/>
              <w:bottom w:val="single" w:sz="4" w:space="0" w:color="FFFFFF" w:themeColor="background1"/>
              <w:right w:val="nil"/>
            </w:tcBorders>
            <w:shd w:val="clear" w:color="auto" w:fill="D9D9D9" w:themeFill="background1" w:themeFillShade="D9"/>
            <w:noWrap/>
            <w:vAlign w:val="center"/>
            <w:hideMark/>
          </w:tcPr>
          <w:p w14:paraId="43351FED" w14:textId="6BDF17FB"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321.923</w:t>
            </w:r>
          </w:p>
        </w:tc>
      </w:tr>
      <w:tr w:rsidR="00225916" w:rsidRPr="004E1ED3" w14:paraId="314923D6" w14:textId="77777777" w:rsidTr="00684E2E">
        <w:trPr>
          <w:trHeight w:val="270"/>
        </w:trPr>
        <w:tc>
          <w:tcPr>
            <w:tcW w:w="944" w:type="dxa"/>
            <w:tcBorders>
              <w:top w:val="single" w:sz="4" w:space="0" w:color="FFFFFF" w:themeColor="background1"/>
              <w:left w:val="nil"/>
              <w:bottom w:val="single" w:sz="4" w:space="0" w:color="FFFFFF" w:themeColor="background1"/>
              <w:right w:val="single" w:sz="4" w:space="0" w:color="BFBFBF" w:themeColor="background1" w:themeShade="BF"/>
            </w:tcBorders>
            <w:shd w:val="clear" w:color="auto" w:fill="auto"/>
            <w:noWrap/>
            <w:vAlign w:val="center"/>
            <w:hideMark/>
          </w:tcPr>
          <w:p w14:paraId="466571A7" w14:textId="77777777" w:rsidR="002E3E15" w:rsidRPr="004E1ED3" w:rsidRDefault="002E3E15" w:rsidP="00684E2E">
            <w:pPr>
              <w:spacing w:before="40" w:after="20"/>
              <w:jc w:val="center"/>
              <w:rPr>
                <w:rFonts w:ascii="Arial Narrow" w:hAnsi="Arial Narrow" w:cs="Arial"/>
                <w:color w:val="1F497D" w:themeColor="text2"/>
                <w:sz w:val="18"/>
                <w:szCs w:val="18"/>
              </w:rPr>
            </w:pPr>
            <w:r w:rsidRPr="004E1ED3">
              <w:rPr>
                <w:rFonts w:ascii="Arial Narrow" w:hAnsi="Arial Narrow" w:cs="Arial"/>
                <w:color w:val="1F497D" w:themeColor="text2"/>
                <w:sz w:val="18"/>
                <w:szCs w:val="18"/>
              </w:rPr>
              <w:t>2012</w:t>
            </w:r>
          </w:p>
        </w:tc>
        <w:tc>
          <w:tcPr>
            <w:tcW w:w="1039"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3CC5F8BF" w14:textId="1A7A2DB1"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350.772</w:t>
            </w:r>
          </w:p>
        </w:tc>
        <w:tc>
          <w:tcPr>
            <w:tcW w:w="1136"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11E49281" w14:textId="0BB16482"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106.216</w:t>
            </w:r>
          </w:p>
        </w:tc>
        <w:tc>
          <w:tcPr>
            <w:tcW w:w="7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08D50D8C" w14:textId="74CE35B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244.556</w:t>
            </w:r>
          </w:p>
        </w:tc>
        <w:tc>
          <w:tcPr>
            <w:tcW w:w="840"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70756D8D" w14:textId="0290066E"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29.467</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63F8B52E" w14:textId="17FD298A"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67.998</w:t>
            </w:r>
          </w:p>
        </w:tc>
        <w:tc>
          <w:tcPr>
            <w:tcW w:w="935"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574B8265" w14:textId="1B026FD4"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- 38.531</w:t>
            </w:r>
          </w:p>
        </w:tc>
        <w:tc>
          <w:tcPr>
            <w:tcW w:w="1133"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06D650FC" w14:textId="0E80A4AF"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321.305</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66ED836D" w14:textId="787B359F"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38.218</w:t>
            </w:r>
          </w:p>
        </w:tc>
        <w:tc>
          <w:tcPr>
            <w:tcW w:w="1066" w:type="dxa"/>
            <w:tcBorders>
              <w:top w:val="single" w:sz="4" w:space="0" w:color="FFFFFF" w:themeColor="background1"/>
              <w:left w:val="single" w:sz="4" w:space="0" w:color="BFBFBF" w:themeColor="background1" w:themeShade="BF"/>
              <w:bottom w:val="single" w:sz="4" w:space="0" w:color="FFFFFF" w:themeColor="background1"/>
              <w:right w:val="nil"/>
            </w:tcBorders>
            <w:shd w:val="clear" w:color="auto" w:fill="D9D9D9" w:themeFill="background1" w:themeFillShade="D9"/>
            <w:noWrap/>
            <w:vAlign w:val="center"/>
            <w:hideMark/>
          </w:tcPr>
          <w:p w14:paraId="40D7C90F" w14:textId="09FE4B41"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283.087</w:t>
            </w:r>
          </w:p>
        </w:tc>
      </w:tr>
      <w:tr w:rsidR="00225916" w:rsidRPr="004E1ED3" w14:paraId="6487EAE4" w14:textId="77777777" w:rsidTr="00684E2E">
        <w:trPr>
          <w:trHeight w:val="270"/>
        </w:trPr>
        <w:tc>
          <w:tcPr>
            <w:tcW w:w="944" w:type="dxa"/>
            <w:tcBorders>
              <w:top w:val="single" w:sz="4" w:space="0" w:color="FFFFFF" w:themeColor="background1"/>
              <w:left w:val="nil"/>
              <w:bottom w:val="single" w:sz="4" w:space="0" w:color="FFFFFF" w:themeColor="background1"/>
              <w:right w:val="single" w:sz="4" w:space="0" w:color="BFBFBF" w:themeColor="background1" w:themeShade="BF"/>
            </w:tcBorders>
            <w:shd w:val="clear" w:color="auto" w:fill="auto"/>
            <w:noWrap/>
            <w:vAlign w:val="center"/>
            <w:hideMark/>
          </w:tcPr>
          <w:p w14:paraId="5DF084FC" w14:textId="77777777" w:rsidR="002E3E15" w:rsidRPr="004E1ED3" w:rsidRDefault="002E3E15" w:rsidP="00684E2E">
            <w:pPr>
              <w:spacing w:before="40" w:after="20"/>
              <w:jc w:val="center"/>
              <w:rPr>
                <w:rFonts w:ascii="Arial Narrow" w:hAnsi="Arial Narrow" w:cs="Arial"/>
                <w:color w:val="1F497D" w:themeColor="text2"/>
                <w:sz w:val="18"/>
                <w:szCs w:val="18"/>
              </w:rPr>
            </w:pPr>
            <w:r w:rsidRPr="004E1ED3">
              <w:rPr>
                <w:rFonts w:ascii="Arial Narrow" w:hAnsi="Arial Narrow" w:cs="Arial"/>
                <w:color w:val="1F497D" w:themeColor="text2"/>
                <w:sz w:val="18"/>
                <w:szCs w:val="18"/>
              </w:rPr>
              <w:t>2013</w:t>
            </w:r>
          </w:p>
        </w:tc>
        <w:tc>
          <w:tcPr>
            <w:tcW w:w="1039"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6F2A92E2" w14:textId="5B48CAFD"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307.454</w:t>
            </w:r>
          </w:p>
        </w:tc>
        <w:tc>
          <w:tcPr>
            <w:tcW w:w="1136"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4F51D20D" w14:textId="0037C901"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125.735</w:t>
            </w:r>
          </w:p>
        </w:tc>
        <w:tc>
          <w:tcPr>
            <w:tcW w:w="7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10F4106C" w14:textId="6AA3FF2E"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181.719</w:t>
            </w:r>
          </w:p>
        </w:tc>
        <w:tc>
          <w:tcPr>
            <w:tcW w:w="840"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7E26AE96" w14:textId="1A290F64"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28.433</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2D04A8E7" w14:textId="4329CD00"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82.095</w:t>
            </w:r>
          </w:p>
        </w:tc>
        <w:tc>
          <w:tcPr>
            <w:tcW w:w="935"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26D07BDD" w14:textId="4788C9EB"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- 53.662</w:t>
            </w:r>
          </w:p>
        </w:tc>
        <w:tc>
          <w:tcPr>
            <w:tcW w:w="1133"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272C8DE0" w14:textId="540D7C9E"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279.021</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734B93E0" w14:textId="5DAC389F"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43.640</w:t>
            </w:r>
          </w:p>
        </w:tc>
        <w:tc>
          <w:tcPr>
            <w:tcW w:w="1066" w:type="dxa"/>
            <w:tcBorders>
              <w:top w:val="single" w:sz="4" w:space="0" w:color="FFFFFF" w:themeColor="background1"/>
              <w:left w:val="single" w:sz="4" w:space="0" w:color="BFBFBF" w:themeColor="background1" w:themeShade="BF"/>
              <w:bottom w:val="single" w:sz="4" w:space="0" w:color="FFFFFF" w:themeColor="background1"/>
              <w:right w:val="nil"/>
            </w:tcBorders>
            <w:shd w:val="clear" w:color="auto" w:fill="D9D9D9" w:themeFill="background1" w:themeFillShade="D9"/>
            <w:noWrap/>
            <w:vAlign w:val="center"/>
            <w:hideMark/>
          </w:tcPr>
          <w:p w14:paraId="3574FFD9" w14:textId="62307C90"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235.381</w:t>
            </w:r>
          </w:p>
        </w:tc>
      </w:tr>
      <w:tr w:rsidR="00225916" w:rsidRPr="004E1ED3" w14:paraId="09A384C4" w14:textId="77777777" w:rsidTr="00684E2E">
        <w:trPr>
          <w:trHeight w:val="270"/>
        </w:trPr>
        <w:tc>
          <w:tcPr>
            <w:tcW w:w="944" w:type="dxa"/>
            <w:tcBorders>
              <w:top w:val="single" w:sz="4" w:space="0" w:color="FFFFFF" w:themeColor="background1"/>
              <w:left w:val="nil"/>
              <w:bottom w:val="single" w:sz="4" w:space="0" w:color="FFFFFF" w:themeColor="background1"/>
              <w:right w:val="single" w:sz="4" w:space="0" w:color="BFBFBF" w:themeColor="background1" w:themeShade="BF"/>
            </w:tcBorders>
            <w:shd w:val="clear" w:color="auto" w:fill="auto"/>
            <w:noWrap/>
            <w:vAlign w:val="center"/>
            <w:hideMark/>
          </w:tcPr>
          <w:p w14:paraId="4D4B1C79" w14:textId="77777777" w:rsidR="002E3E15" w:rsidRPr="004E1ED3" w:rsidRDefault="002E3E15" w:rsidP="00684E2E">
            <w:pPr>
              <w:spacing w:before="40" w:after="20"/>
              <w:jc w:val="center"/>
              <w:rPr>
                <w:rFonts w:ascii="Arial Narrow" w:hAnsi="Arial Narrow" w:cs="Arial"/>
                <w:color w:val="1F497D" w:themeColor="text2"/>
                <w:sz w:val="18"/>
                <w:szCs w:val="18"/>
              </w:rPr>
            </w:pPr>
            <w:r w:rsidRPr="004E1ED3">
              <w:rPr>
                <w:rFonts w:ascii="Arial Narrow" w:hAnsi="Arial Narrow" w:cs="Arial"/>
                <w:color w:val="1F497D" w:themeColor="text2"/>
                <w:sz w:val="18"/>
                <w:szCs w:val="18"/>
              </w:rPr>
              <w:t>2014</w:t>
            </w:r>
          </w:p>
        </w:tc>
        <w:tc>
          <w:tcPr>
            <w:tcW w:w="1039"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55901A28" w14:textId="27CEC627"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277.631</w:t>
            </w:r>
          </w:p>
        </w:tc>
        <w:tc>
          <w:tcPr>
            <w:tcW w:w="1136"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14486652" w14:textId="2765651F"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136.328</w:t>
            </w:r>
          </w:p>
        </w:tc>
        <w:tc>
          <w:tcPr>
            <w:tcW w:w="7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388A1FF2" w14:textId="7198EC96"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141.303</w:t>
            </w:r>
          </w:p>
        </w:tc>
        <w:tc>
          <w:tcPr>
            <w:tcW w:w="840"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25F85DAF" w14:textId="1ED6E43B"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29.271</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442EC316" w14:textId="642FDD2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88.859</w:t>
            </w:r>
          </w:p>
        </w:tc>
        <w:tc>
          <w:tcPr>
            <w:tcW w:w="935"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50FF0BE4" w14:textId="65B71529"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- 59.588</w:t>
            </w:r>
          </w:p>
        </w:tc>
        <w:tc>
          <w:tcPr>
            <w:tcW w:w="1133"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63780F0E" w14:textId="7FDE3E47"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248.360</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0FE67523" w14:textId="2F6B36F4"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47.469</w:t>
            </w:r>
          </w:p>
        </w:tc>
        <w:tc>
          <w:tcPr>
            <w:tcW w:w="1066" w:type="dxa"/>
            <w:tcBorders>
              <w:top w:val="single" w:sz="4" w:space="0" w:color="FFFFFF" w:themeColor="background1"/>
              <w:left w:val="single" w:sz="4" w:space="0" w:color="BFBFBF" w:themeColor="background1" w:themeShade="BF"/>
              <w:bottom w:val="single" w:sz="4" w:space="0" w:color="FFFFFF" w:themeColor="background1"/>
              <w:right w:val="nil"/>
            </w:tcBorders>
            <w:shd w:val="clear" w:color="auto" w:fill="D9D9D9" w:themeFill="background1" w:themeFillShade="D9"/>
            <w:noWrap/>
            <w:vAlign w:val="center"/>
            <w:hideMark/>
          </w:tcPr>
          <w:p w14:paraId="17288C85" w14:textId="7E898077"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200.891</w:t>
            </w:r>
          </w:p>
        </w:tc>
      </w:tr>
      <w:tr w:rsidR="00225916" w:rsidRPr="004E1ED3" w14:paraId="2F48DA1F" w14:textId="77777777" w:rsidTr="00684E2E">
        <w:trPr>
          <w:trHeight w:val="270"/>
        </w:trPr>
        <w:tc>
          <w:tcPr>
            <w:tcW w:w="944" w:type="dxa"/>
            <w:tcBorders>
              <w:top w:val="single" w:sz="4" w:space="0" w:color="FFFFFF" w:themeColor="background1"/>
              <w:left w:val="nil"/>
              <w:bottom w:val="single" w:sz="4" w:space="0" w:color="FFFFFF" w:themeColor="background1"/>
              <w:right w:val="single" w:sz="4" w:space="0" w:color="BFBFBF" w:themeColor="background1" w:themeShade="BF"/>
            </w:tcBorders>
            <w:shd w:val="clear" w:color="auto" w:fill="auto"/>
            <w:noWrap/>
            <w:vAlign w:val="center"/>
            <w:hideMark/>
          </w:tcPr>
          <w:p w14:paraId="6128FA64" w14:textId="77777777" w:rsidR="002E3E15" w:rsidRPr="004E1ED3" w:rsidRDefault="002E3E15" w:rsidP="00684E2E">
            <w:pPr>
              <w:spacing w:before="40" w:after="20"/>
              <w:jc w:val="center"/>
              <w:rPr>
                <w:rFonts w:ascii="Arial Narrow" w:hAnsi="Arial Narrow" w:cs="Arial"/>
                <w:color w:val="1F497D" w:themeColor="text2"/>
                <w:sz w:val="18"/>
                <w:szCs w:val="18"/>
              </w:rPr>
            </w:pPr>
            <w:r w:rsidRPr="004E1ED3">
              <w:rPr>
                <w:rFonts w:ascii="Arial Narrow" w:hAnsi="Arial Narrow" w:cs="Arial"/>
                <w:color w:val="1F497D" w:themeColor="text2"/>
                <w:sz w:val="18"/>
                <w:szCs w:val="18"/>
              </w:rPr>
              <w:t>2015</w:t>
            </w:r>
          </w:p>
        </w:tc>
        <w:tc>
          <w:tcPr>
            <w:tcW w:w="1039"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7C1AA817" w14:textId="580AFE1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280.078</w:t>
            </w:r>
          </w:p>
        </w:tc>
        <w:tc>
          <w:tcPr>
            <w:tcW w:w="1136"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25AF6B6D" w14:textId="2931E3A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146.955</w:t>
            </w:r>
          </w:p>
        </w:tc>
        <w:tc>
          <w:tcPr>
            <w:tcW w:w="7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55B8EBD2" w14:textId="6482D2B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133.123</w:t>
            </w:r>
          </w:p>
        </w:tc>
        <w:tc>
          <w:tcPr>
            <w:tcW w:w="840"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323BAC1C" w14:textId="1EA595A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30.052</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36467953" w14:textId="0F98A549"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102.259</w:t>
            </w:r>
          </w:p>
        </w:tc>
        <w:tc>
          <w:tcPr>
            <w:tcW w:w="935"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48A9461C" w14:textId="3BB3A91A"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- 72.207</w:t>
            </w:r>
          </w:p>
        </w:tc>
        <w:tc>
          <w:tcPr>
            <w:tcW w:w="1133"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20F37BA9" w14:textId="63259A5F"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250.026</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37DBD3EB" w14:textId="7AA0F409"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44.696</w:t>
            </w:r>
          </w:p>
        </w:tc>
        <w:tc>
          <w:tcPr>
            <w:tcW w:w="1066" w:type="dxa"/>
            <w:tcBorders>
              <w:top w:val="single" w:sz="4" w:space="0" w:color="FFFFFF" w:themeColor="background1"/>
              <w:left w:val="single" w:sz="4" w:space="0" w:color="BFBFBF" w:themeColor="background1" w:themeShade="BF"/>
              <w:bottom w:val="single" w:sz="4" w:space="0" w:color="FFFFFF" w:themeColor="background1"/>
              <w:right w:val="nil"/>
            </w:tcBorders>
            <w:shd w:val="clear" w:color="auto" w:fill="D9D9D9" w:themeFill="background1" w:themeFillShade="D9"/>
            <w:noWrap/>
            <w:vAlign w:val="center"/>
            <w:hideMark/>
          </w:tcPr>
          <w:p w14:paraId="075DA9D4" w14:textId="395F591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205.330</w:t>
            </w:r>
          </w:p>
        </w:tc>
      </w:tr>
      <w:tr w:rsidR="00225916" w:rsidRPr="004E1ED3" w14:paraId="1244C54A" w14:textId="77777777" w:rsidTr="00684E2E">
        <w:trPr>
          <w:trHeight w:val="270"/>
        </w:trPr>
        <w:tc>
          <w:tcPr>
            <w:tcW w:w="944" w:type="dxa"/>
            <w:tcBorders>
              <w:top w:val="single" w:sz="4" w:space="0" w:color="FFFFFF" w:themeColor="background1"/>
              <w:left w:val="nil"/>
              <w:bottom w:val="single" w:sz="4" w:space="0" w:color="FFFFFF" w:themeColor="background1"/>
              <w:right w:val="single" w:sz="4" w:space="0" w:color="BFBFBF" w:themeColor="background1" w:themeShade="BF"/>
            </w:tcBorders>
            <w:shd w:val="clear" w:color="auto" w:fill="auto"/>
            <w:noWrap/>
            <w:vAlign w:val="center"/>
            <w:hideMark/>
          </w:tcPr>
          <w:p w14:paraId="18E4A245" w14:textId="77777777" w:rsidR="002E3E15" w:rsidRPr="004E1ED3" w:rsidRDefault="002E3E15" w:rsidP="00684E2E">
            <w:pPr>
              <w:spacing w:before="40" w:after="20"/>
              <w:jc w:val="center"/>
              <w:rPr>
                <w:rFonts w:ascii="Arial Narrow" w:hAnsi="Arial Narrow" w:cs="Arial"/>
                <w:color w:val="1F497D" w:themeColor="text2"/>
                <w:sz w:val="18"/>
                <w:szCs w:val="18"/>
              </w:rPr>
            </w:pPr>
            <w:r w:rsidRPr="004E1ED3">
              <w:rPr>
                <w:rFonts w:ascii="Arial Narrow" w:hAnsi="Arial Narrow" w:cs="Arial"/>
                <w:color w:val="1F497D" w:themeColor="text2"/>
                <w:sz w:val="18"/>
                <w:szCs w:val="18"/>
              </w:rPr>
              <w:t>2016</w:t>
            </w:r>
          </w:p>
        </w:tc>
        <w:tc>
          <w:tcPr>
            <w:tcW w:w="1039"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1631DDBA" w14:textId="11B329F7"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300.823</w:t>
            </w:r>
          </w:p>
        </w:tc>
        <w:tc>
          <w:tcPr>
            <w:tcW w:w="1136"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1213E5F1" w14:textId="1126DD37"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157.065</w:t>
            </w:r>
          </w:p>
        </w:tc>
        <w:tc>
          <w:tcPr>
            <w:tcW w:w="7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2068F8F6" w14:textId="18AA2A00"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143.758</w:t>
            </w:r>
          </w:p>
        </w:tc>
        <w:tc>
          <w:tcPr>
            <w:tcW w:w="840"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7623C7DC" w14:textId="028CD207"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37.894</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55B74299" w14:textId="03EA46AE"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114.512</w:t>
            </w:r>
          </w:p>
        </w:tc>
        <w:tc>
          <w:tcPr>
            <w:tcW w:w="935"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7282D533" w14:textId="766B10CD"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- 76.618</w:t>
            </w:r>
          </w:p>
        </w:tc>
        <w:tc>
          <w:tcPr>
            <w:tcW w:w="1133"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2039FBC4" w14:textId="2848E689"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262.929</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6B7C59CE" w14:textId="725FA2C5"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42.553</w:t>
            </w:r>
          </w:p>
        </w:tc>
        <w:tc>
          <w:tcPr>
            <w:tcW w:w="1066" w:type="dxa"/>
            <w:tcBorders>
              <w:top w:val="single" w:sz="4" w:space="0" w:color="FFFFFF" w:themeColor="background1"/>
              <w:left w:val="single" w:sz="4" w:space="0" w:color="BFBFBF" w:themeColor="background1" w:themeShade="BF"/>
              <w:bottom w:val="single" w:sz="4" w:space="0" w:color="FFFFFF" w:themeColor="background1"/>
              <w:right w:val="nil"/>
            </w:tcBorders>
            <w:shd w:val="clear" w:color="auto" w:fill="D9D9D9" w:themeFill="background1" w:themeFillShade="D9"/>
            <w:noWrap/>
            <w:vAlign w:val="center"/>
            <w:hideMark/>
          </w:tcPr>
          <w:p w14:paraId="1C8E183E" w14:textId="0F1EF956"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220.376</w:t>
            </w:r>
          </w:p>
        </w:tc>
      </w:tr>
      <w:tr w:rsidR="00225916" w:rsidRPr="004E1ED3" w14:paraId="691A1025" w14:textId="77777777" w:rsidTr="00684E2E">
        <w:trPr>
          <w:trHeight w:val="270"/>
        </w:trPr>
        <w:tc>
          <w:tcPr>
            <w:tcW w:w="944" w:type="dxa"/>
            <w:tcBorders>
              <w:top w:val="single" w:sz="4" w:space="0" w:color="FFFFFF" w:themeColor="background1"/>
              <w:left w:val="nil"/>
              <w:bottom w:val="single" w:sz="4" w:space="0" w:color="FFFFFF" w:themeColor="background1"/>
              <w:right w:val="single" w:sz="4" w:space="0" w:color="BFBFBF" w:themeColor="background1" w:themeShade="BF"/>
            </w:tcBorders>
            <w:shd w:val="clear" w:color="auto" w:fill="auto"/>
            <w:noWrap/>
            <w:vAlign w:val="center"/>
            <w:hideMark/>
          </w:tcPr>
          <w:p w14:paraId="73515549" w14:textId="77777777" w:rsidR="002E3E15" w:rsidRPr="004E1ED3" w:rsidRDefault="002E3E15" w:rsidP="00684E2E">
            <w:pPr>
              <w:spacing w:before="40" w:after="20"/>
              <w:jc w:val="center"/>
              <w:rPr>
                <w:rFonts w:ascii="Arial Narrow" w:hAnsi="Arial Narrow" w:cs="Arial"/>
                <w:color w:val="1F497D" w:themeColor="text2"/>
                <w:sz w:val="18"/>
                <w:szCs w:val="18"/>
              </w:rPr>
            </w:pPr>
            <w:r w:rsidRPr="004E1ED3">
              <w:rPr>
                <w:rFonts w:ascii="Arial Narrow" w:hAnsi="Arial Narrow" w:cs="Arial"/>
                <w:color w:val="1F497D" w:themeColor="text2"/>
                <w:sz w:val="18"/>
                <w:szCs w:val="18"/>
              </w:rPr>
              <w:t>2017</w:t>
            </w:r>
          </w:p>
        </w:tc>
        <w:tc>
          <w:tcPr>
            <w:tcW w:w="1039"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1241D492" w14:textId="1FF386C8"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343.440</w:t>
            </w:r>
          </w:p>
        </w:tc>
        <w:tc>
          <w:tcPr>
            <w:tcW w:w="1136"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0284B30B" w14:textId="1C9644DD"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155.110</w:t>
            </w:r>
          </w:p>
        </w:tc>
        <w:tc>
          <w:tcPr>
            <w:tcW w:w="7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37D563D8" w14:textId="28DF18FB"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188.330</w:t>
            </w:r>
          </w:p>
        </w:tc>
        <w:tc>
          <w:tcPr>
            <w:tcW w:w="840"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10642DD1" w14:textId="1D108B8C"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42.369</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6E3E54F5" w14:textId="7AB36774"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114.559</w:t>
            </w:r>
          </w:p>
        </w:tc>
        <w:tc>
          <w:tcPr>
            <w:tcW w:w="935"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684E3762" w14:textId="047077D2"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- 72.190</w:t>
            </w:r>
          </w:p>
        </w:tc>
        <w:tc>
          <w:tcPr>
            <w:tcW w:w="1133"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D9D9D9" w:themeFill="background1" w:themeFillShade="D9"/>
            <w:noWrap/>
            <w:vAlign w:val="center"/>
            <w:hideMark/>
          </w:tcPr>
          <w:p w14:paraId="1BAF9886" w14:textId="453A33DE"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301.071</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auto"/>
            <w:noWrap/>
            <w:vAlign w:val="center"/>
            <w:hideMark/>
          </w:tcPr>
          <w:p w14:paraId="3A7B1210" w14:textId="329F1EBB"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40.551</w:t>
            </w:r>
          </w:p>
        </w:tc>
        <w:tc>
          <w:tcPr>
            <w:tcW w:w="1066" w:type="dxa"/>
            <w:tcBorders>
              <w:top w:val="single" w:sz="4" w:space="0" w:color="FFFFFF" w:themeColor="background1"/>
              <w:left w:val="single" w:sz="4" w:space="0" w:color="BFBFBF" w:themeColor="background1" w:themeShade="BF"/>
              <w:bottom w:val="single" w:sz="4" w:space="0" w:color="FFFFFF" w:themeColor="background1"/>
              <w:right w:val="nil"/>
            </w:tcBorders>
            <w:shd w:val="clear" w:color="auto" w:fill="D9D9D9" w:themeFill="background1" w:themeFillShade="D9"/>
            <w:noWrap/>
            <w:vAlign w:val="center"/>
            <w:hideMark/>
          </w:tcPr>
          <w:p w14:paraId="1E70D14C" w14:textId="21778E08" w:rsidR="002E3E15" w:rsidRPr="004E1ED3" w:rsidRDefault="002E3E15" w:rsidP="00684E2E">
            <w:pPr>
              <w:spacing w:before="40" w:after="20"/>
              <w:jc w:val="right"/>
              <w:rPr>
                <w:rFonts w:ascii="Arial Narrow" w:hAnsi="Arial Narrow" w:cs="Arial"/>
                <w:sz w:val="18"/>
                <w:szCs w:val="18"/>
              </w:rPr>
            </w:pPr>
            <w:r w:rsidRPr="004E1ED3">
              <w:rPr>
                <w:rFonts w:ascii="Arial Narrow" w:hAnsi="Arial Narrow" w:cs="Arial"/>
                <w:sz w:val="18"/>
                <w:szCs w:val="18"/>
              </w:rPr>
              <w:t>260.520</w:t>
            </w:r>
          </w:p>
        </w:tc>
      </w:tr>
      <w:tr w:rsidR="007A6C99" w:rsidRPr="004E1ED3" w14:paraId="00EE109D" w14:textId="77777777" w:rsidTr="00684E2E">
        <w:trPr>
          <w:trHeight w:val="270"/>
        </w:trPr>
        <w:tc>
          <w:tcPr>
            <w:tcW w:w="944" w:type="dxa"/>
            <w:tcBorders>
              <w:top w:val="single" w:sz="4" w:space="0" w:color="FFFFFF" w:themeColor="background1"/>
              <w:left w:val="nil"/>
              <w:bottom w:val="single" w:sz="4" w:space="0" w:color="FFFFFF" w:themeColor="background1"/>
              <w:right w:val="single" w:sz="4" w:space="0" w:color="BFBFBF" w:themeColor="background1" w:themeShade="BF"/>
            </w:tcBorders>
            <w:shd w:val="clear" w:color="auto" w:fill="1F497D"/>
            <w:noWrap/>
            <w:vAlign w:val="center"/>
            <w:hideMark/>
          </w:tcPr>
          <w:p w14:paraId="27EA5CD8" w14:textId="77777777" w:rsidR="002E3E15" w:rsidRPr="00684E2E" w:rsidRDefault="002E3E15" w:rsidP="00684E2E">
            <w:pPr>
              <w:spacing w:before="40" w:after="20"/>
              <w:jc w:val="center"/>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2018</w:t>
            </w:r>
          </w:p>
        </w:tc>
        <w:tc>
          <w:tcPr>
            <w:tcW w:w="1039"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1F497D"/>
            <w:noWrap/>
            <w:vAlign w:val="center"/>
            <w:hideMark/>
          </w:tcPr>
          <w:p w14:paraId="64F8988B" w14:textId="473ACE8E" w:rsidR="002E3E15" w:rsidRPr="00684E2E" w:rsidRDefault="002E3E15" w:rsidP="00684E2E">
            <w:pPr>
              <w:spacing w:before="40" w:after="20"/>
              <w:jc w:val="right"/>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 xml:space="preserve">332.324 </w:t>
            </w:r>
          </w:p>
        </w:tc>
        <w:tc>
          <w:tcPr>
            <w:tcW w:w="1136"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1F497D"/>
            <w:noWrap/>
            <w:vAlign w:val="center"/>
            <w:hideMark/>
          </w:tcPr>
          <w:p w14:paraId="3000F0AD" w14:textId="67ED0586" w:rsidR="002E3E15" w:rsidRPr="00684E2E" w:rsidRDefault="002E3E15" w:rsidP="00684E2E">
            <w:pPr>
              <w:spacing w:before="40" w:after="20"/>
              <w:jc w:val="right"/>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156.960</w:t>
            </w:r>
          </w:p>
        </w:tc>
        <w:tc>
          <w:tcPr>
            <w:tcW w:w="7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1F497D"/>
            <w:noWrap/>
            <w:vAlign w:val="center"/>
            <w:hideMark/>
          </w:tcPr>
          <w:p w14:paraId="2F1DF112" w14:textId="2C6ABC50" w:rsidR="002E3E15" w:rsidRPr="00684E2E" w:rsidRDefault="002E3E15" w:rsidP="00684E2E">
            <w:pPr>
              <w:spacing w:before="40" w:after="20"/>
              <w:jc w:val="right"/>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175.364</w:t>
            </w:r>
          </w:p>
        </w:tc>
        <w:tc>
          <w:tcPr>
            <w:tcW w:w="840"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1F497D"/>
            <w:noWrap/>
            <w:vAlign w:val="center"/>
            <w:hideMark/>
          </w:tcPr>
          <w:p w14:paraId="2AB5F94F" w14:textId="3707A869" w:rsidR="002E3E15" w:rsidRPr="00684E2E" w:rsidRDefault="002E3E15" w:rsidP="00684E2E">
            <w:pPr>
              <w:spacing w:before="40" w:after="20"/>
              <w:jc w:val="right"/>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46.824</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1F497D"/>
            <w:noWrap/>
            <w:vAlign w:val="center"/>
            <w:hideMark/>
          </w:tcPr>
          <w:p w14:paraId="222A2744" w14:textId="19828722" w:rsidR="002E3E15" w:rsidRPr="00684E2E" w:rsidRDefault="002E3E15" w:rsidP="00684E2E">
            <w:pPr>
              <w:spacing w:before="40" w:after="20"/>
              <w:jc w:val="right"/>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116.732</w:t>
            </w:r>
          </w:p>
        </w:tc>
        <w:tc>
          <w:tcPr>
            <w:tcW w:w="935"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1F497D"/>
            <w:noWrap/>
            <w:vAlign w:val="center"/>
            <w:hideMark/>
          </w:tcPr>
          <w:p w14:paraId="46310DD5" w14:textId="69B1639E" w:rsidR="002E3E15" w:rsidRPr="00684E2E" w:rsidRDefault="002E3E15" w:rsidP="00684E2E">
            <w:pPr>
              <w:spacing w:before="40" w:after="20"/>
              <w:jc w:val="right"/>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- 69.908</w:t>
            </w:r>
          </w:p>
        </w:tc>
        <w:tc>
          <w:tcPr>
            <w:tcW w:w="1133"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1F497D"/>
            <w:noWrap/>
            <w:vAlign w:val="center"/>
            <w:hideMark/>
          </w:tcPr>
          <w:p w14:paraId="62EC6BB5" w14:textId="7C87A731" w:rsidR="002E3E15" w:rsidRPr="00684E2E" w:rsidRDefault="002E3E15" w:rsidP="00684E2E">
            <w:pPr>
              <w:spacing w:before="40" w:after="20"/>
              <w:jc w:val="right"/>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285.500</w:t>
            </w:r>
          </w:p>
        </w:tc>
        <w:tc>
          <w:tcPr>
            <w:tcW w:w="108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1F497D"/>
            <w:noWrap/>
            <w:vAlign w:val="center"/>
            <w:hideMark/>
          </w:tcPr>
          <w:p w14:paraId="22ECFBF6" w14:textId="7BF509F8" w:rsidR="002E3E15" w:rsidRPr="00684E2E" w:rsidRDefault="002E3E15" w:rsidP="00684E2E">
            <w:pPr>
              <w:spacing w:before="40" w:after="20"/>
              <w:jc w:val="right"/>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40.228</w:t>
            </w:r>
          </w:p>
        </w:tc>
        <w:tc>
          <w:tcPr>
            <w:tcW w:w="1066" w:type="dxa"/>
            <w:tcBorders>
              <w:top w:val="single" w:sz="4" w:space="0" w:color="FFFFFF" w:themeColor="background1"/>
              <w:left w:val="single" w:sz="4" w:space="0" w:color="BFBFBF" w:themeColor="background1" w:themeShade="BF"/>
              <w:bottom w:val="single" w:sz="4" w:space="0" w:color="FFFFFF" w:themeColor="background1"/>
              <w:right w:val="nil"/>
            </w:tcBorders>
            <w:shd w:val="clear" w:color="auto" w:fill="1F497D"/>
            <w:noWrap/>
            <w:vAlign w:val="center"/>
            <w:hideMark/>
          </w:tcPr>
          <w:p w14:paraId="788AD3D8" w14:textId="6006CED2" w:rsidR="002E3E15" w:rsidRPr="00684E2E" w:rsidRDefault="002E3E15" w:rsidP="00684E2E">
            <w:pPr>
              <w:spacing w:before="40" w:after="20"/>
              <w:jc w:val="right"/>
              <w:rPr>
                <w:rFonts w:ascii="Arial Narrow" w:hAnsi="Arial Narrow" w:cs="Arial"/>
                <w:b/>
                <w:bCs/>
                <w:color w:val="FFFFFF" w:themeColor="background1"/>
                <w:sz w:val="18"/>
                <w:szCs w:val="18"/>
              </w:rPr>
            </w:pPr>
            <w:r w:rsidRPr="00684E2E">
              <w:rPr>
                <w:rFonts w:ascii="Arial Narrow" w:hAnsi="Arial Narrow" w:cs="Arial"/>
                <w:b/>
                <w:bCs/>
                <w:color w:val="FFFFFF" w:themeColor="background1"/>
                <w:sz w:val="18"/>
                <w:szCs w:val="18"/>
              </w:rPr>
              <w:t>245.272</w:t>
            </w:r>
          </w:p>
        </w:tc>
      </w:tr>
    </w:tbl>
    <w:p w14:paraId="5225B959" w14:textId="77777777" w:rsidR="002E3E15" w:rsidRDefault="002E3E15" w:rsidP="00FB204E">
      <w:pPr>
        <w:autoSpaceDE w:val="0"/>
        <w:autoSpaceDN w:val="0"/>
        <w:adjustRightInd w:val="0"/>
        <w:rPr>
          <w:rFonts w:ascii="Arial Narrow" w:hAnsi="Arial Narrow" w:cs="Arial"/>
          <w:b/>
          <w:iCs/>
          <w:noProof/>
          <w:color w:val="1F497D" w:themeColor="text2"/>
          <w:sz w:val="22"/>
          <w:szCs w:val="22"/>
        </w:rPr>
      </w:pPr>
    </w:p>
    <w:p w14:paraId="10AC9172" w14:textId="77777777" w:rsidR="007A6C99" w:rsidRDefault="007A6C99" w:rsidP="001C29D4">
      <w:pPr>
        <w:spacing w:before="40" w:after="120"/>
        <w:rPr>
          <w:rFonts w:ascii="Arial" w:hAnsi="Arial" w:cs="Arial"/>
          <w:b/>
          <w:iCs/>
          <w:color w:val="1F497D" w:themeColor="text2"/>
          <w:sz w:val="26"/>
          <w:szCs w:val="26"/>
        </w:rPr>
      </w:pPr>
    </w:p>
    <w:p w14:paraId="5270E36E" w14:textId="22EA49BD" w:rsidR="00D20CFF" w:rsidRDefault="00D20CFF" w:rsidP="001C29D4">
      <w:pPr>
        <w:spacing w:before="40" w:after="120"/>
        <w:rPr>
          <w:rFonts w:ascii="Arial" w:hAnsi="Arial" w:cs="Arial"/>
          <w:b/>
          <w:iCs/>
          <w:color w:val="1F497D" w:themeColor="text2"/>
          <w:sz w:val="26"/>
          <w:szCs w:val="26"/>
        </w:rPr>
      </w:pPr>
      <w:r>
        <w:rPr>
          <w:rFonts w:ascii="Arial" w:hAnsi="Arial" w:cs="Arial"/>
          <w:b/>
          <w:iCs/>
          <w:color w:val="1F497D" w:themeColor="text2"/>
          <w:sz w:val="26"/>
          <w:szCs w:val="26"/>
        </w:rPr>
        <w:t xml:space="preserve">Regno Unito </w:t>
      </w:r>
      <w:r w:rsidR="007A2785">
        <w:rPr>
          <w:rFonts w:ascii="Arial" w:hAnsi="Arial" w:cs="Arial"/>
          <w:b/>
          <w:iCs/>
          <w:color w:val="1F497D" w:themeColor="text2"/>
          <w:sz w:val="26"/>
          <w:szCs w:val="26"/>
        </w:rPr>
        <w:t xml:space="preserve">destinazione </w:t>
      </w:r>
      <w:r>
        <w:rPr>
          <w:rFonts w:ascii="Arial" w:hAnsi="Arial" w:cs="Arial"/>
          <w:b/>
          <w:iCs/>
          <w:color w:val="1F497D" w:themeColor="text2"/>
          <w:sz w:val="26"/>
          <w:szCs w:val="26"/>
        </w:rPr>
        <w:t xml:space="preserve">preferita </w:t>
      </w:r>
      <w:r w:rsidR="007A2785">
        <w:rPr>
          <w:rFonts w:ascii="Arial" w:hAnsi="Arial" w:cs="Arial"/>
          <w:b/>
          <w:iCs/>
          <w:color w:val="1F497D" w:themeColor="text2"/>
          <w:sz w:val="26"/>
          <w:szCs w:val="26"/>
        </w:rPr>
        <w:t>da</w:t>
      </w:r>
      <w:r w:rsidR="004D22B4">
        <w:rPr>
          <w:rFonts w:ascii="Arial" w:hAnsi="Arial" w:cs="Arial"/>
          <w:b/>
          <w:iCs/>
          <w:color w:val="1F497D" w:themeColor="text2"/>
          <w:sz w:val="26"/>
          <w:szCs w:val="26"/>
        </w:rPr>
        <w:t xml:space="preserve"> i</w:t>
      </w:r>
      <w:r>
        <w:rPr>
          <w:rFonts w:ascii="Arial" w:hAnsi="Arial" w:cs="Arial"/>
          <w:b/>
          <w:iCs/>
          <w:color w:val="1F497D" w:themeColor="text2"/>
          <w:sz w:val="26"/>
          <w:szCs w:val="26"/>
        </w:rPr>
        <w:t xml:space="preserve">taliani e “nuovi” italiani </w:t>
      </w:r>
    </w:p>
    <w:p w14:paraId="4FD1CF6C" w14:textId="6B700FF5" w:rsidR="00D20CFF" w:rsidRPr="00456F8E" w:rsidRDefault="00D20CFF" w:rsidP="00D20CFF">
      <w:pPr>
        <w:spacing w:after="80"/>
        <w:jc w:val="both"/>
        <w:rPr>
          <w:rFonts w:ascii="Arial" w:hAnsi="Arial" w:cs="Arial"/>
          <w:iCs/>
          <w:sz w:val="22"/>
          <w:szCs w:val="22"/>
        </w:rPr>
      </w:pPr>
      <w:bookmarkStart w:id="1" w:name="_Hlk26033043"/>
      <w:r w:rsidRPr="00456F8E">
        <w:rPr>
          <w:rFonts w:ascii="Arial" w:hAnsi="Arial" w:cs="Arial"/>
          <w:iCs/>
          <w:sz w:val="22"/>
          <w:szCs w:val="22"/>
        </w:rPr>
        <w:t xml:space="preserve">Nel 2018 il Regno Unito continua ad accogliere la maggioranza degli italiani emigrati all’estero (21 mila), </w:t>
      </w:r>
      <w:r w:rsidR="004D22B4" w:rsidRPr="00456F8E">
        <w:rPr>
          <w:rFonts w:ascii="Arial" w:hAnsi="Arial" w:cs="Arial"/>
          <w:iCs/>
          <w:sz w:val="22"/>
          <w:szCs w:val="22"/>
        </w:rPr>
        <w:t>segu</w:t>
      </w:r>
      <w:r w:rsidR="004D22B4">
        <w:rPr>
          <w:rFonts w:ascii="Arial" w:hAnsi="Arial" w:cs="Arial"/>
          <w:iCs/>
          <w:sz w:val="22"/>
          <w:szCs w:val="22"/>
        </w:rPr>
        <w:t>ono</w:t>
      </w:r>
      <w:r w:rsidR="004D22B4" w:rsidRPr="00456F8E">
        <w:rPr>
          <w:rFonts w:ascii="Arial" w:hAnsi="Arial" w:cs="Arial"/>
          <w:iCs/>
          <w:sz w:val="22"/>
          <w:szCs w:val="22"/>
        </w:rPr>
        <w:t xml:space="preserve"> </w:t>
      </w:r>
      <w:r w:rsidRPr="00456F8E">
        <w:rPr>
          <w:rFonts w:ascii="Arial" w:hAnsi="Arial" w:cs="Arial"/>
          <w:iCs/>
          <w:sz w:val="22"/>
          <w:szCs w:val="22"/>
        </w:rPr>
        <w:t>Germania (18 mila), Francia (</w:t>
      </w:r>
      <w:r w:rsidR="00CC421D">
        <w:rPr>
          <w:rFonts w:ascii="Arial" w:hAnsi="Arial" w:cs="Arial"/>
          <w:iCs/>
          <w:sz w:val="22"/>
          <w:szCs w:val="22"/>
        </w:rPr>
        <w:t>circa 1</w:t>
      </w:r>
      <w:r w:rsidR="00A910A4">
        <w:rPr>
          <w:rFonts w:ascii="Arial" w:hAnsi="Arial" w:cs="Arial"/>
          <w:iCs/>
          <w:sz w:val="22"/>
          <w:szCs w:val="22"/>
        </w:rPr>
        <w:t>4</w:t>
      </w:r>
      <w:r w:rsidRPr="00456F8E">
        <w:rPr>
          <w:rFonts w:ascii="Arial" w:hAnsi="Arial" w:cs="Arial"/>
          <w:iCs/>
          <w:sz w:val="22"/>
          <w:szCs w:val="22"/>
        </w:rPr>
        <w:t xml:space="preserve"> mila), Svizzera (</w:t>
      </w:r>
      <w:r w:rsidR="00CC421D">
        <w:rPr>
          <w:rFonts w:ascii="Arial" w:hAnsi="Arial" w:cs="Arial"/>
          <w:iCs/>
          <w:sz w:val="22"/>
          <w:szCs w:val="22"/>
        </w:rPr>
        <w:t>quasi</w:t>
      </w:r>
      <w:r w:rsidRPr="00456F8E">
        <w:rPr>
          <w:rFonts w:ascii="Arial" w:hAnsi="Arial" w:cs="Arial"/>
          <w:iCs/>
          <w:sz w:val="22"/>
          <w:szCs w:val="22"/>
        </w:rPr>
        <w:t xml:space="preserve"> 10 mila) e Spagna (7 mila). In questi cinque </w:t>
      </w:r>
      <w:r w:rsidR="004A622D">
        <w:rPr>
          <w:rFonts w:ascii="Arial" w:hAnsi="Arial" w:cs="Arial"/>
          <w:iCs/>
          <w:sz w:val="22"/>
          <w:szCs w:val="22"/>
        </w:rPr>
        <w:t>paes</w:t>
      </w:r>
      <w:r w:rsidRPr="00456F8E">
        <w:rPr>
          <w:rFonts w:ascii="Arial" w:hAnsi="Arial" w:cs="Arial"/>
          <w:iCs/>
          <w:sz w:val="22"/>
          <w:szCs w:val="22"/>
        </w:rPr>
        <w:t>i si concentra complessivamente il 60% degli espatri</w:t>
      </w:r>
      <w:r w:rsidR="005738A8">
        <w:rPr>
          <w:rFonts w:ascii="Arial" w:hAnsi="Arial" w:cs="Arial"/>
          <w:iCs/>
          <w:sz w:val="22"/>
          <w:szCs w:val="22"/>
        </w:rPr>
        <w:t xml:space="preserve"> di concittadini</w:t>
      </w:r>
      <w:r w:rsidRPr="00456F8E">
        <w:rPr>
          <w:rFonts w:ascii="Arial" w:hAnsi="Arial" w:cs="Arial"/>
          <w:iCs/>
          <w:sz w:val="22"/>
          <w:szCs w:val="22"/>
        </w:rPr>
        <w:t xml:space="preserve">. Tra i </w:t>
      </w:r>
      <w:r w:rsidR="004A622D">
        <w:rPr>
          <w:rFonts w:ascii="Arial" w:hAnsi="Arial" w:cs="Arial"/>
          <w:iCs/>
          <w:sz w:val="22"/>
          <w:szCs w:val="22"/>
        </w:rPr>
        <w:t>paes</w:t>
      </w:r>
      <w:r w:rsidRPr="00456F8E">
        <w:rPr>
          <w:rFonts w:ascii="Arial" w:hAnsi="Arial" w:cs="Arial"/>
          <w:iCs/>
          <w:sz w:val="22"/>
          <w:szCs w:val="22"/>
        </w:rPr>
        <w:t>i extra-europei, le principali mete di destinazione sono Brasile, Stati Uniti, Australia e Canada (nel complesso 18 mila).</w:t>
      </w:r>
    </w:p>
    <w:bookmarkEnd w:id="1"/>
    <w:p w14:paraId="50AFC35F" w14:textId="355869F0" w:rsidR="00456F8E" w:rsidRPr="00456F8E" w:rsidRDefault="00456F8E" w:rsidP="00456F8E">
      <w:pPr>
        <w:spacing w:after="80"/>
        <w:jc w:val="both"/>
        <w:rPr>
          <w:rFonts w:ascii="Arial" w:hAnsi="Arial" w:cs="Arial"/>
          <w:iCs/>
          <w:sz w:val="22"/>
          <w:szCs w:val="22"/>
        </w:rPr>
      </w:pPr>
      <w:r w:rsidRPr="00456F8E">
        <w:rPr>
          <w:rFonts w:ascii="Arial" w:hAnsi="Arial" w:cs="Arial"/>
          <w:iCs/>
          <w:sz w:val="22"/>
          <w:szCs w:val="22"/>
        </w:rPr>
        <w:t xml:space="preserve">Nel corso del decennio 2009-2018, i flussi diretti verso i principali </w:t>
      </w:r>
      <w:r w:rsidR="004A622D">
        <w:rPr>
          <w:rFonts w:ascii="Arial" w:hAnsi="Arial" w:cs="Arial"/>
          <w:iCs/>
          <w:sz w:val="22"/>
          <w:szCs w:val="22"/>
        </w:rPr>
        <w:t>paes</w:t>
      </w:r>
      <w:r w:rsidRPr="00456F8E">
        <w:rPr>
          <w:rFonts w:ascii="Arial" w:hAnsi="Arial" w:cs="Arial"/>
          <w:iCs/>
          <w:sz w:val="22"/>
          <w:szCs w:val="22"/>
        </w:rPr>
        <w:t xml:space="preserve">i europei sono aumentati considerevolmente. Nel caso del Regno Unito sono più che quadruplicati, passando da poco più di 5 mila espatri nel 2009 a </w:t>
      </w:r>
      <w:r w:rsidR="00CC421D">
        <w:rPr>
          <w:rFonts w:ascii="Arial" w:hAnsi="Arial" w:cs="Arial"/>
          <w:iCs/>
          <w:sz w:val="22"/>
          <w:szCs w:val="22"/>
        </w:rPr>
        <w:t>21</w:t>
      </w:r>
      <w:r w:rsidRPr="00456F8E">
        <w:rPr>
          <w:rFonts w:ascii="Arial" w:hAnsi="Arial" w:cs="Arial"/>
          <w:iCs/>
          <w:sz w:val="22"/>
          <w:szCs w:val="22"/>
        </w:rPr>
        <w:t xml:space="preserve"> mila nel 2018, con un picco</w:t>
      </w:r>
      <w:r w:rsidR="00011DE9">
        <w:rPr>
          <w:rFonts w:ascii="Arial" w:hAnsi="Arial" w:cs="Arial"/>
          <w:iCs/>
          <w:sz w:val="22"/>
          <w:szCs w:val="22"/>
        </w:rPr>
        <w:t xml:space="preserve"> (25 mila espatri)</w:t>
      </w:r>
      <w:r w:rsidRPr="00456F8E">
        <w:rPr>
          <w:rFonts w:ascii="Arial" w:hAnsi="Arial" w:cs="Arial"/>
          <w:iCs/>
          <w:sz w:val="22"/>
          <w:szCs w:val="22"/>
        </w:rPr>
        <w:t xml:space="preserve"> in corrispondenza del 2016, anno in cui s</w:t>
      </w:r>
      <w:r>
        <w:rPr>
          <w:rFonts w:ascii="Arial" w:hAnsi="Arial" w:cs="Arial"/>
          <w:iCs/>
          <w:sz w:val="22"/>
          <w:szCs w:val="22"/>
        </w:rPr>
        <w:t>ono state</w:t>
      </w:r>
      <w:r w:rsidRPr="00456F8E">
        <w:rPr>
          <w:rFonts w:ascii="Arial" w:hAnsi="Arial" w:cs="Arial"/>
          <w:iCs/>
          <w:sz w:val="22"/>
          <w:szCs w:val="22"/>
        </w:rPr>
        <w:t xml:space="preserve"> vota</w:t>
      </w:r>
      <w:r>
        <w:rPr>
          <w:rFonts w:ascii="Arial" w:hAnsi="Arial" w:cs="Arial"/>
          <w:iCs/>
          <w:sz w:val="22"/>
          <w:szCs w:val="22"/>
        </w:rPr>
        <w:t>te</w:t>
      </w:r>
      <w:r w:rsidRPr="00456F8E">
        <w:rPr>
          <w:rFonts w:ascii="Arial" w:hAnsi="Arial" w:cs="Arial"/>
          <w:iCs/>
          <w:sz w:val="22"/>
          <w:szCs w:val="22"/>
        </w:rPr>
        <w:t xml:space="preserve"> le risoluzioni per i negoziati di uscita del Paese dall’Unione europea (Brexit). In questa occasione molti dei cittadini italiani</w:t>
      </w:r>
      <w:r w:rsidR="005738A8">
        <w:rPr>
          <w:rFonts w:ascii="Arial" w:hAnsi="Arial" w:cs="Arial"/>
          <w:iCs/>
          <w:sz w:val="22"/>
          <w:szCs w:val="22"/>
        </w:rPr>
        <w:t>,</w:t>
      </w:r>
      <w:r w:rsidRPr="00456F8E">
        <w:rPr>
          <w:rFonts w:ascii="Arial" w:hAnsi="Arial" w:cs="Arial"/>
          <w:iCs/>
          <w:sz w:val="22"/>
          <w:szCs w:val="22"/>
        </w:rPr>
        <w:t xml:space="preserve"> </w:t>
      </w:r>
      <w:r w:rsidR="005738A8">
        <w:rPr>
          <w:rFonts w:ascii="Arial" w:hAnsi="Arial" w:cs="Arial"/>
          <w:iCs/>
          <w:sz w:val="22"/>
          <w:szCs w:val="22"/>
        </w:rPr>
        <w:t xml:space="preserve">verosimilmente </w:t>
      </w:r>
      <w:r w:rsidRPr="00456F8E">
        <w:rPr>
          <w:rFonts w:ascii="Arial" w:hAnsi="Arial" w:cs="Arial"/>
          <w:iCs/>
          <w:sz w:val="22"/>
          <w:szCs w:val="22"/>
        </w:rPr>
        <w:t>già presenti</w:t>
      </w:r>
      <w:r w:rsidR="005738A8">
        <w:rPr>
          <w:rFonts w:ascii="Arial" w:hAnsi="Arial" w:cs="Arial"/>
          <w:iCs/>
          <w:sz w:val="22"/>
          <w:szCs w:val="22"/>
        </w:rPr>
        <w:t xml:space="preserve"> </w:t>
      </w:r>
      <w:r w:rsidR="005738A8" w:rsidRPr="00456F8E">
        <w:rPr>
          <w:rFonts w:ascii="Arial" w:hAnsi="Arial" w:cs="Arial"/>
          <w:iCs/>
          <w:sz w:val="22"/>
          <w:szCs w:val="22"/>
        </w:rPr>
        <w:t>nel territorio britannico</w:t>
      </w:r>
      <w:r w:rsidR="005738A8">
        <w:rPr>
          <w:rFonts w:ascii="Arial" w:hAnsi="Arial" w:cs="Arial"/>
          <w:iCs/>
          <w:sz w:val="22"/>
          <w:szCs w:val="22"/>
        </w:rPr>
        <w:t xml:space="preserve"> </w:t>
      </w:r>
      <w:r w:rsidRPr="00456F8E">
        <w:rPr>
          <w:rFonts w:ascii="Arial" w:hAnsi="Arial" w:cs="Arial"/>
          <w:iCs/>
          <w:sz w:val="22"/>
          <w:szCs w:val="22"/>
        </w:rPr>
        <w:t>ma non registrati</w:t>
      </w:r>
      <w:r w:rsidR="005738A8">
        <w:rPr>
          <w:rFonts w:ascii="Arial" w:hAnsi="Arial" w:cs="Arial"/>
          <w:iCs/>
          <w:sz w:val="22"/>
          <w:szCs w:val="22"/>
        </w:rPr>
        <w:t xml:space="preserve"> come abitualmente dimoranti</w:t>
      </w:r>
      <w:r w:rsidR="00B224A1">
        <w:rPr>
          <w:rFonts w:ascii="Arial" w:hAnsi="Arial" w:cs="Arial"/>
          <w:iCs/>
          <w:sz w:val="22"/>
          <w:szCs w:val="22"/>
        </w:rPr>
        <w:t>,</w:t>
      </w:r>
      <w:r w:rsidRPr="00456F8E">
        <w:rPr>
          <w:rFonts w:ascii="Arial" w:hAnsi="Arial" w:cs="Arial"/>
          <w:iCs/>
          <w:sz w:val="22"/>
          <w:szCs w:val="22"/>
        </w:rPr>
        <w:t xml:space="preserve"> hanno ufficializzato </w:t>
      </w:r>
      <w:r w:rsidR="005738A8">
        <w:rPr>
          <w:rFonts w:ascii="Arial" w:hAnsi="Arial" w:cs="Arial"/>
          <w:iCs/>
          <w:sz w:val="22"/>
          <w:szCs w:val="22"/>
        </w:rPr>
        <w:t>la loro posizione trasferendo la residenza nel Regno Unito</w:t>
      </w:r>
      <w:r w:rsidRPr="00456F8E">
        <w:rPr>
          <w:rFonts w:ascii="Arial" w:hAnsi="Arial" w:cs="Arial"/>
          <w:iCs/>
          <w:sz w:val="22"/>
          <w:szCs w:val="22"/>
        </w:rPr>
        <w:t xml:space="preserve">. Complessivamente dal 2009 al </w:t>
      </w:r>
      <w:r w:rsidR="00B224A1" w:rsidRPr="00456F8E">
        <w:rPr>
          <w:rFonts w:ascii="Arial" w:hAnsi="Arial" w:cs="Arial"/>
          <w:iCs/>
          <w:sz w:val="22"/>
          <w:szCs w:val="22"/>
        </w:rPr>
        <w:t>201</w:t>
      </w:r>
      <w:r w:rsidR="00B224A1">
        <w:rPr>
          <w:rFonts w:ascii="Arial" w:hAnsi="Arial" w:cs="Arial"/>
          <w:iCs/>
          <w:sz w:val="22"/>
          <w:szCs w:val="22"/>
        </w:rPr>
        <w:t>8</w:t>
      </w:r>
      <w:r w:rsidR="00B224A1" w:rsidRPr="00456F8E">
        <w:rPr>
          <w:rFonts w:ascii="Arial" w:hAnsi="Arial" w:cs="Arial"/>
          <w:iCs/>
          <w:sz w:val="22"/>
          <w:szCs w:val="22"/>
        </w:rPr>
        <w:t xml:space="preserve"> </w:t>
      </w:r>
      <w:r w:rsidRPr="00456F8E">
        <w:rPr>
          <w:rFonts w:ascii="Arial" w:hAnsi="Arial" w:cs="Arial"/>
          <w:iCs/>
          <w:sz w:val="22"/>
          <w:szCs w:val="22"/>
        </w:rPr>
        <w:t>gli espatri verso il Regno Unito sono stati circa 133 mila</w:t>
      </w:r>
      <w:r w:rsidR="00B26283">
        <w:rPr>
          <w:rFonts w:ascii="Arial" w:hAnsi="Arial" w:cs="Arial"/>
          <w:iCs/>
          <w:sz w:val="22"/>
          <w:szCs w:val="22"/>
        </w:rPr>
        <w:t xml:space="preserve"> (Figura </w:t>
      </w:r>
      <w:r w:rsidR="004D22B4">
        <w:rPr>
          <w:rFonts w:ascii="Arial" w:hAnsi="Arial" w:cs="Arial"/>
          <w:iCs/>
          <w:sz w:val="22"/>
          <w:szCs w:val="22"/>
        </w:rPr>
        <w:t>1</w:t>
      </w:r>
      <w:r w:rsidR="00B26283">
        <w:rPr>
          <w:rFonts w:ascii="Arial" w:hAnsi="Arial" w:cs="Arial"/>
          <w:iCs/>
          <w:sz w:val="22"/>
          <w:szCs w:val="22"/>
        </w:rPr>
        <w:t>).</w:t>
      </w:r>
    </w:p>
    <w:p w14:paraId="6F88749E" w14:textId="2D838898" w:rsidR="00F27F15" w:rsidRDefault="00512EAA" w:rsidP="00512EAA">
      <w:pPr>
        <w:spacing w:after="80"/>
        <w:jc w:val="both"/>
        <w:rPr>
          <w:rFonts w:ascii="Arial" w:hAnsi="Arial" w:cs="Arial"/>
          <w:iCs/>
          <w:sz w:val="22"/>
          <w:szCs w:val="22"/>
        </w:rPr>
      </w:pPr>
      <w:r>
        <w:rPr>
          <w:rFonts w:ascii="Arial" w:hAnsi="Arial" w:cs="Arial"/>
          <w:iCs/>
          <w:sz w:val="22"/>
          <w:szCs w:val="22"/>
        </w:rPr>
        <w:t xml:space="preserve">Anche la Germania è una meta privilegiata dagli italiani che </w:t>
      </w:r>
      <w:r w:rsidR="00E76DA2">
        <w:rPr>
          <w:rFonts w:ascii="Arial" w:hAnsi="Arial" w:cs="Arial"/>
          <w:iCs/>
          <w:sz w:val="22"/>
          <w:szCs w:val="22"/>
        </w:rPr>
        <w:t>emigrano</w:t>
      </w:r>
      <w:r w:rsidR="004D22B4">
        <w:rPr>
          <w:rFonts w:ascii="Arial" w:hAnsi="Arial" w:cs="Arial"/>
          <w:iCs/>
          <w:sz w:val="22"/>
          <w:szCs w:val="22"/>
        </w:rPr>
        <w:t>;</w:t>
      </w:r>
      <w:r w:rsidR="00E22B98">
        <w:rPr>
          <w:rFonts w:ascii="Arial" w:hAnsi="Arial" w:cs="Arial"/>
          <w:iCs/>
          <w:sz w:val="22"/>
          <w:szCs w:val="22"/>
        </w:rPr>
        <w:t xml:space="preserve"> </w:t>
      </w:r>
      <w:r w:rsidR="00E76DA2">
        <w:rPr>
          <w:rFonts w:ascii="Arial" w:hAnsi="Arial" w:cs="Arial"/>
          <w:iCs/>
          <w:sz w:val="22"/>
          <w:szCs w:val="22"/>
        </w:rPr>
        <w:t xml:space="preserve">verso </w:t>
      </w:r>
      <w:r w:rsidR="005738A8">
        <w:rPr>
          <w:rFonts w:ascii="Arial" w:hAnsi="Arial" w:cs="Arial"/>
          <w:iCs/>
          <w:sz w:val="22"/>
          <w:szCs w:val="22"/>
        </w:rPr>
        <w:t xml:space="preserve">questo Paese </w:t>
      </w:r>
      <w:r w:rsidR="00E76DA2">
        <w:rPr>
          <w:rFonts w:ascii="Arial" w:hAnsi="Arial" w:cs="Arial"/>
          <w:iCs/>
          <w:sz w:val="22"/>
          <w:szCs w:val="22"/>
        </w:rPr>
        <w:t xml:space="preserve">gli espatri </w:t>
      </w:r>
      <w:r w:rsidR="00B224A1">
        <w:rPr>
          <w:rFonts w:ascii="Arial" w:hAnsi="Arial" w:cs="Arial"/>
          <w:iCs/>
          <w:sz w:val="22"/>
          <w:szCs w:val="22"/>
        </w:rPr>
        <w:t>risultano</w:t>
      </w:r>
      <w:r w:rsidR="00E76DA2">
        <w:rPr>
          <w:rFonts w:ascii="Arial" w:hAnsi="Arial" w:cs="Arial"/>
          <w:iCs/>
          <w:sz w:val="22"/>
          <w:szCs w:val="22"/>
        </w:rPr>
        <w:t xml:space="preserve"> triplicati rispetto all’inizio del decennio (da 6 mila nel 2009 a 18 mila nel 2018).</w:t>
      </w:r>
      <w:r w:rsidR="0023067E">
        <w:rPr>
          <w:rFonts w:ascii="Arial" w:hAnsi="Arial" w:cs="Arial"/>
          <w:iCs/>
          <w:sz w:val="22"/>
          <w:szCs w:val="22"/>
        </w:rPr>
        <w:t xml:space="preserve"> </w:t>
      </w:r>
      <w:r w:rsidR="005738A8">
        <w:rPr>
          <w:rFonts w:ascii="Arial" w:hAnsi="Arial" w:cs="Arial"/>
          <w:iCs/>
          <w:sz w:val="22"/>
          <w:szCs w:val="22"/>
        </w:rPr>
        <w:t xml:space="preserve">I flussi diretti in </w:t>
      </w:r>
      <w:r w:rsidR="00E76DA2">
        <w:rPr>
          <w:rFonts w:ascii="Arial" w:hAnsi="Arial" w:cs="Arial"/>
          <w:iCs/>
          <w:sz w:val="22"/>
          <w:szCs w:val="22"/>
        </w:rPr>
        <w:t>Svizzera, Francia e Spagna</w:t>
      </w:r>
      <w:r w:rsidR="000F28CD">
        <w:rPr>
          <w:rFonts w:ascii="Arial" w:hAnsi="Arial" w:cs="Arial"/>
          <w:iCs/>
          <w:sz w:val="22"/>
          <w:szCs w:val="22"/>
        </w:rPr>
        <w:t>,</w:t>
      </w:r>
      <w:r w:rsidR="00E76DA2">
        <w:rPr>
          <w:rFonts w:ascii="Arial" w:hAnsi="Arial" w:cs="Arial"/>
          <w:iCs/>
          <w:sz w:val="22"/>
          <w:szCs w:val="22"/>
        </w:rPr>
        <w:t xml:space="preserve"> invece, sono raddoppiati rispetto ai valori registrati nel 2009. </w:t>
      </w:r>
      <w:r w:rsidR="0023067E">
        <w:rPr>
          <w:rFonts w:ascii="Arial" w:hAnsi="Arial" w:cs="Arial"/>
          <w:iCs/>
          <w:sz w:val="22"/>
          <w:szCs w:val="22"/>
        </w:rPr>
        <w:t xml:space="preserve">Durante il decennio 2009-2018 il volume degli espatri </w:t>
      </w:r>
      <w:r w:rsidR="001A24AD">
        <w:rPr>
          <w:rFonts w:ascii="Arial" w:hAnsi="Arial" w:cs="Arial"/>
          <w:iCs/>
          <w:sz w:val="22"/>
          <w:szCs w:val="22"/>
        </w:rPr>
        <w:t xml:space="preserve">di cittadini italiani </w:t>
      </w:r>
      <w:r w:rsidR="00E22B98">
        <w:rPr>
          <w:rFonts w:ascii="Arial" w:hAnsi="Arial" w:cs="Arial"/>
          <w:iCs/>
          <w:sz w:val="22"/>
          <w:szCs w:val="22"/>
        </w:rPr>
        <w:t>in questi</w:t>
      </w:r>
      <w:r w:rsidR="0023067E">
        <w:rPr>
          <w:rFonts w:ascii="Arial" w:hAnsi="Arial" w:cs="Arial"/>
          <w:iCs/>
          <w:sz w:val="22"/>
          <w:szCs w:val="22"/>
        </w:rPr>
        <w:t xml:space="preserve"> paesi ammonta complessivamente a </w:t>
      </w:r>
      <w:r w:rsidR="00553D7D">
        <w:rPr>
          <w:rFonts w:ascii="Arial" w:hAnsi="Arial" w:cs="Arial"/>
          <w:iCs/>
          <w:sz w:val="22"/>
          <w:szCs w:val="22"/>
        </w:rPr>
        <w:t>341</w:t>
      </w:r>
      <w:r w:rsidR="0023067E">
        <w:rPr>
          <w:rFonts w:ascii="Arial" w:hAnsi="Arial" w:cs="Arial"/>
          <w:iCs/>
          <w:sz w:val="22"/>
          <w:szCs w:val="22"/>
        </w:rPr>
        <w:t xml:space="preserve"> mila</w:t>
      </w:r>
      <w:r w:rsidR="00F27F15">
        <w:rPr>
          <w:rFonts w:ascii="Arial" w:hAnsi="Arial" w:cs="Arial"/>
          <w:iCs/>
          <w:sz w:val="22"/>
          <w:szCs w:val="22"/>
        </w:rPr>
        <w:t xml:space="preserve"> emigrazioni</w:t>
      </w:r>
      <w:r w:rsidR="00014765">
        <w:rPr>
          <w:rFonts w:ascii="Arial" w:hAnsi="Arial" w:cs="Arial"/>
          <w:iCs/>
          <w:sz w:val="22"/>
          <w:szCs w:val="22"/>
        </w:rPr>
        <w:t>.</w:t>
      </w:r>
    </w:p>
    <w:p w14:paraId="62267C60" w14:textId="036265AF" w:rsidR="0062153A" w:rsidRDefault="00B224A1" w:rsidP="00A90D7D">
      <w:pPr>
        <w:spacing w:after="80"/>
        <w:jc w:val="both"/>
        <w:rPr>
          <w:rFonts w:ascii="Arial" w:hAnsi="Arial" w:cs="Arial"/>
          <w:iCs/>
          <w:sz w:val="22"/>
          <w:szCs w:val="22"/>
        </w:rPr>
      </w:pPr>
      <w:r>
        <w:rPr>
          <w:rFonts w:ascii="Arial" w:hAnsi="Arial" w:cs="Arial"/>
          <w:iCs/>
          <w:sz w:val="22"/>
          <w:szCs w:val="22"/>
        </w:rPr>
        <w:t>Tra gli</w:t>
      </w:r>
      <w:r w:rsidR="00492EFB">
        <w:rPr>
          <w:rFonts w:ascii="Arial" w:hAnsi="Arial" w:cs="Arial"/>
          <w:iCs/>
          <w:sz w:val="22"/>
          <w:szCs w:val="22"/>
        </w:rPr>
        <w:t xml:space="preserve"> italiani che espatriano si contano anche i flussi dei </w:t>
      </w:r>
      <w:r w:rsidR="00553D7D">
        <w:rPr>
          <w:rFonts w:ascii="Arial" w:hAnsi="Arial" w:cs="Arial"/>
          <w:iCs/>
          <w:sz w:val="22"/>
          <w:szCs w:val="22"/>
        </w:rPr>
        <w:t xml:space="preserve">cittadini </w:t>
      </w:r>
      <w:r w:rsidR="00536953" w:rsidRPr="00A90D7D">
        <w:rPr>
          <w:rFonts w:ascii="Arial" w:hAnsi="Arial" w:cs="Arial"/>
          <w:iCs/>
          <w:sz w:val="22"/>
          <w:szCs w:val="22"/>
        </w:rPr>
        <w:t>di origine straniera</w:t>
      </w:r>
      <w:r w:rsidR="007A6C99" w:rsidRPr="00A90D7D">
        <w:rPr>
          <w:rFonts w:ascii="Arial" w:hAnsi="Arial" w:cs="Arial"/>
          <w:iCs/>
          <w:sz w:val="22"/>
          <w:szCs w:val="22"/>
          <w:vertAlign w:val="superscript"/>
        </w:rPr>
        <w:endnoteReference w:id="1"/>
      </w:r>
      <w:r w:rsidR="007A6C99">
        <w:rPr>
          <w:rFonts w:ascii="Arial" w:hAnsi="Arial" w:cs="Arial"/>
          <w:iCs/>
          <w:sz w:val="22"/>
          <w:szCs w:val="22"/>
        </w:rPr>
        <w:t>:</w:t>
      </w:r>
      <w:r w:rsidR="00553D7D">
        <w:rPr>
          <w:rFonts w:ascii="Arial" w:hAnsi="Arial" w:cs="Arial"/>
          <w:iCs/>
          <w:sz w:val="22"/>
          <w:szCs w:val="22"/>
        </w:rPr>
        <w:t xml:space="preserve"> </w:t>
      </w:r>
      <w:r w:rsidR="0062153A" w:rsidRPr="0062153A">
        <w:rPr>
          <w:rFonts w:ascii="Arial" w:hAnsi="Arial" w:cs="Arial"/>
          <w:iCs/>
          <w:sz w:val="22"/>
          <w:szCs w:val="22"/>
        </w:rPr>
        <w:t xml:space="preserve">si tratta di cittadini nati all’estero che emigrano in un </w:t>
      </w:r>
      <w:r w:rsidR="000C2FC4">
        <w:rPr>
          <w:rFonts w:ascii="Arial" w:hAnsi="Arial" w:cs="Arial"/>
          <w:iCs/>
          <w:sz w:val="22"/>
          <w:szCs w:val="22"/>
        </w:rPr>
        <w:t>p</w:t>
      </w:r>
      <w:r w:rsidR="0062153A" w:rsidRPr="0062153A">
        <w:rPr>
          <w:rFonts w:ascii="Arial" w:hAnsi="Arial" w:cs="Arial"/>
          <w:iCs/>
          <w:sz w:val="22"/>
          <w:szCs w:val="22"/>
        </w:rPr>
        <w:t xml:space="preserve">aese terzo o fanno rientro nel </w:t>
      </w:r>
      <w:r w:rsidR="000C2FC4">
        <w:rPr>
          <w:rFonts w:ascii="Arial" w:hAnsi="Arial" w:cs="Arial"/>
          <w:iCs/>
          <w:sz w:val="22"/>
          <w:szCs w:val="22"/>
        </w:rPr>
        <w:t xml:space="preserve">luogo </w:t>
      </w:r>
      <w:r w:rsidR="0062153A" w:rsidRPr="0062153A">
        <w:rPr>
          <w:rFonts w:ascii="Arial" w:hAnsi="Arial" w:cs="Arial"/>
          <w:iCs/>
          <w:sz w:val="22"/>
          <w:szCs w:val="22"/>
        </w:rPr>
        <w:t>d</w:t>
      </w:r>
      <w:r w:rsidR="000C2FC4">
        <w:rPr>
          <w:rFonts w:ascii="Arial" w:hAnsi="Arial" w:cs="Arial"/>
          <w:iCs/>
          <w:sz w:val="22"/>
          <w:szCs w:val="22"/>
        </w:rPr>
        <w:t xml:space="preserve">i </w:t>
      </w:r>
      <w:r w:rsidR="0062153A" w:rsidRPr="0062153A">
        <w:rPr>
          <w:rFonts w:ascii="Arial" w:hAnsi="Arial" w:cs="Arial"/>
          <w:iCs/>
          <w:sz w:val="22"/>
          <w:szCs w:val="22"/>
        </w:rPr>
        <w:t>origine, dopo aver tr</w:t>
      </w:r>
      <w:r w:rsidR="00011DE9">
        <w:rPr>
          <w:rFonts w:ascii="Arial" w:hAnsi="Arial" w:cs="Arial"/>
          <w:iCs/>
          <w:sz w:val="22"/>
          <w:szCs w:val="22"/>
        </w:rPr>
        <w:t xml:space="preserve">ascorso un periodo in Italia e </w:t>
      </w:r>
      <w:r w:rsidR="0062153A" w:rsidRPr="0062153A">
        <w:rPr>
          <w:rFonts w:ascii="Arial" w:hAnsi="Arial" w:cs="Arial"/>
          <w:iCs/>
          <w:sz w:val="22"/>
          <w:szCs w:val="22"/>
        </w:rPr>
        <w:t>aver acquisito la cittadinanza italiana. Le emigrazioni di questi "nuovi" italiani, nel 2018, ammontano a circa 35 mila (30% degli espatri, +6% rispetto al 2017). Di questi, uno su tre è nato in Brasile (circa 12 mila), il 10% in Marocco, il 6% in Germania, il 4% nella ex Jugoslavia e in Bangladesh, il 3,5% in India e in Argentina.</w:t>
      </w:r>
    </w:p>
    <w:p w14:paraId="44F47261" w14:textId="70680B29" w:rsidR="00A90D7D" w:rsidRPr="00A90D7D" w:rsidRDefault="00FF70A8" w:rsidP="00A90D7D">
      <w:pPr>
        <w:spacing w:after="80"/>
        <w:jc w:val="both"/>
        <w:rPr>
          <w:rFonts w:ascii="Arial" w:hAnsi="Arial" w:cs="Arial"/>
          <w:iCs/>
          <w:sz w:val="22"/>
          <w:szCs w:val="22"/>
        </w:rPr>
      </w:pPr>
      <w:r>
        <w:rPr>
          <w:rFonts w:ascii="Arial" w:hAnsi="Arial" w:cs="Arial"/>
          <w:iCs/>
          <w:sz w:val="22"/>
          <w:szCs w:val="22"/>
        </w:rPr>
        <w:t xml:space="preserve">I </w:t>
      </w:r>
      <w:r w:rsidR="000C2FC4">
        <w:rPr>
          <w:rFonts w:ascii="Arial" w:hAnsi="Arial" w:cs="Arial"/>
          <w:iCs/>
          <w:sz w:val="22"/>
          <w:szCs w:val="22"/>
        </w:rPr>
        <w:t>p</w:t>
      </w:r>
      <w:r>
        <w:rPr>
          <w:rFonts w:ascii="Arial" w:hAnsi="Arial" w:cs="Arial"/>
          <w:iCs/>
          <w:sz w:val="22"/>
          <w:szCs w:val="22"/>
        </w:rPr>
        <w:t xml:space="preserve">aesi dell’Unione europea si confermano le mete principali anche degli espatri dei </w:t>
      </w:r>
      <w:r w:rsidR="00553D7D">
        <w:rPr>
          <w:rFonts w:ascii="Arial" w:hAnsi="Arial" w:cs="Arial"/>
          <w:iCs/>
          <w:sz w:val="22"/>
          <w:szCs w:val="22"/>
        </w:rPr>
        <w:t>“</w:t>
      </w:r>
      <w:r>
        <w:rPr>
          <w:rFonts w:ascii="Arial" w:hAnsi="Arial" w:cs="Arial"/>
          <w:iCs/>
          <w:sz w:val="22"/>
          <w:szCs w:val="22"/>
        </w:rPr>
        <w:t>nuovi</w:t>
      </w:r>
      <w:r w:rsidR="00553D7D">
        <w:rPr>
          <w:rFonts w:ascii="Arial" w:hAnsi="Arial" w:cs="Arial"/>
          <w:iCs/>
          <w:sz w:val="22"/>
          <w:szCs w:val="22"/>
        </w:rPr>
        <w:t>”</w:t>
      </w:r>
      <w:r>
        <w:rPr>
          <w:rFonts w:ascii="Arial" w:hAnsi="Arial" w:cs="Arial"/>
          <w:iCs/>
          <w:sz w:val="22"/>
          <w:szCs w:val="22"/>
        </w:rPr>
        <w:t xml:space="preserve"> italiani (55% dei flussi degli italiani nati all’estero). In particolare,</w:t>
      </w:r>
      <w:r w:rsidR="00553D7D">
        <w:rPr>
          <w:rFonts w:ascii="Arial" w:hAnsi="Arial" w:cs="Arial"/>
          <w:iCs/>
          <w:sz w:val="22"/>
          <w:szCs w:val="22"/>
        </w:rPr>
        <w:t xml:space="preserve"> </w:t>
      </w:r>
      <w:r w:rsidR="00553D7D" w:rsidRPr="00A90D7D">
        <w:rPr>
          <w:rFonts w:ascii="Arial" w:hAnsi="Arial" w:cs="Arial"/>
          <w:iCs/>
          <w:sz w:val="22"/>
          <w:szCs w:val="22"/>
        </w:rPr>
        <w:t>con riferimento al collettivo dei connazionali diretti nei paesi dell’Ue</w:t>
      </w:r>
      <w:r w:rsidR="00553D7D">
        <w:rPr>
          <w:rFonts w:ascii="Arial" w:hAnsi="Arial" w:cs="Arial"/>
          <w:iCs/>
          <w:sz w:val="22"/>
          <w:szCs w:val="22"/>
        </w:rPr>
        <w:t>,</w:t>
      </w:r>
      <w:r>
        <w:rPr>
          <w:rFonts w:ascii="Arial" w:hAnsi="Arial" w:cs="Arial"/>
          <w:iCs/>
          <w:sz w:val="22"/>
          <w:szCs w:val="22"/>
        </w:rPr>
        <w:t xml:space="preserve"> si osserva che </w:t>
      </w:r>
      <w:r w:rsidR="00A90D7D" w:rsidRPr="00A90D7D">
        <w:rPr>
          <w:rFonts w:ascii="Arial" w:hAnsi="Arial" w:cs="Arial"/>
          <w:iCs/>
          <w:sz w:val="22"/>
          <w:szCs w:val="22"/>
        </w:rPr>
        <w:t xml:space="preserve">il </w:t>
      </w:r>
      <w:r w:rsidR="00831B51">
        <w:rPr>
          <w:rFonts w:ascii="Arial" w:hAnsi="Arial" w:cs="Arial"/>
          <w:iCs/>
          <w:sz w:val="22"/>
          <w:szCs w:val="22"/>
        </w:rPr>
        <w:t>17</w:t>
      </w:r>
      <w:r w:rsidR="00A90D7D" w:rsidRPr="00A90D7D">
        <w:rPr>
          <w:rFonts w:ascii="Arial" w:hAnsi="Arial" w:cs="Arial"/>
          <w:iCs/>
          <w:sz w:val="22"/>
          <w:szCs w:val="22"/>
        </w:rPr>
        <w:t xml:space="preserve">% è nato in Marocco, il </w:t>
      </w:r>
      <w:r w:rsidR="00831B51">
        <w:rPr>
          <w:rFonts w:ascii="Arial" w:hAnsi="Arial" w:cs="Arial"/>
          <w:iCs/>
          <w:sz w:val="22"/>
          <w:szCs w:val="22"/>
        </w:rPr>
        <w:t>16</w:t>
      </w:r>
      <w:r w:rsidR="00A90D7D" w:rsidRPr="00A90D7D">
        <w:rPr>
          <w:rFonts w:ascii="Arial" w:hAnsi="Arial" w:cs="Arial"/>
          <w:iCs/>
          <w:sz w:val="22"/>
          <w:szCs w:val="22"/>
        </w:rPr>
        <w:t>% in Brasile</w:t>
      </w:r>
      <w:r w:rsidR="00831B51">
        <w:rPr>
          <w:rFonts w:ascii="Arial" w:hAnsi="Arial" w:cs="Arial"/>
          <w:iCs/>
          <w:sz w:val="22"/>
          <w:szCs w:val="22"/>
        </w:rPr>
        <w:t xml:space="preserve">, </w:t>
      </w:r>
      <w:r w:rsidR="00A90D7D" w:rsidRPr="00A90D7D">
        <w:rPr>
          <w:rFonts w:ascii="Arial" w:hAnsi="Arial" w:cs="Arial"/>
          <w:iCs/>
          <w:sz w:val="22"/>
          <w:szCs w:val="22"/>
        </w:rPr>
        <w:t xml:space="preserve">il </w:t>
      </w:r>
      <w:r w:rsidR="00831B51">
        <w:rPr>
          <w:rFonts w:ascii="Arial" w:hAnsi="Arial" w:cs="Arial"/>
          <w:iCs/>
          <w:sz w:val="22"/>
          <w:szCs w:val="22"/>
        </w:rPr>
        <w:t>7</w:t>
      </w:r>
      <w:r w:rsidR="00A90D7D" w:rsidRPr="00A90D7D">
        <w:rPr>
          <w:rFonts w:ascii="Arial" w:hAnsi="Arial" w:cs="Arial"/>
          <w:iCs/>
          <w:sz w:val="22"/>
          <w:szCs w:val="22"/>
        </w:rPr>
        <w:t xml:space="preserve">% nel Bangladesh. </w:t>
      </w:r>
      <w:r w:rsidR="00553D7D">
        <w:rPr>
          <w:rFonts w:ascii="Arial" w:hAnsi="Arial" w:cs="Arial"/>
          <w:iCs/>
          <w:sz w:val="22"/>
          <w:szCs w:val="22"/>
        </w:rPr>
        <w:t>Ancora più in dettaglio</w:t>
      </w:r>
      <w:r w:rsidR="00A90D7D" w:rsidRPr="00A90D7D">
        <w:rPr>
          <w:rFonts w:ascii="Arial" w:hAnsi="Arial" w:cs="Arial"/>
          <w:iCs/>
          <w:sz w:val="22"/>
          <w:szCs w:val="22"/>
        </w:rPr>
        <w:t xml:space="preserve">, i cittadini italiani </w:t>
      </w:r>
      <w:r w:rsidR="00D2143B">
        <w:rPr>
          <w:rFonts w:ascii="Arial" w:hAnsi="Arial" w:cs="Arial"/>
          <w:iCs/>
          <w:sz w:val="22"/>
          <w:szCs w:val="22"/>
        </w:rPr>
        <w:t>di origine africana</w:t>
      </w:r>
      <w:r w:rsidR="00A90D7D" w:rsidRPr="00A90D7D">
        <w:rPr>
          <w:rFonts w:ascii="Arial" w:hAnsi="Arial" w:cs="Arial"/>
          <w:iCs/>
          <w:sz w:val="22"/>
          <w:szCs w:val="22"/>
        </w:rPr>
        <w:t xml:space="preserve"> emigrano perlopiù in Francia (6</w:t>
      </w:r>
      <w:r w:rsidR="00831B51">
        <w:rPr>
          <w:rFonts w:ascii="Arial" w:hAnsi="Arial" w:cs="Arial"/>
          <w:iCs/>
          <w:sz w:val="22"/>
          <w:szCs w:val="22"/>
        </w:rPr>
        <w:t>2</w:t>
      </w:r>
      <w:r w:rsidR="00A90D7D" w:rsidRPr="00A90D7D">
        <w:rPr>
          <w:rFonts w:ascii="Arial" w:hAnsi="Arial" w:cs="Arial"/>
          <w:iCs/>
          <w:sz w:val="22"/>
          <w:szCs w:val="22"/>
        </w:rPr>
        <w:t>%), quelli nati in Asia nella stragrande maggioranza si dirigono verso il Regno Unito (</w:t>
      </w:r>
      <w:r w:rsidR="001E5F21">
        <w:rPr>
          <w:rFonts w:ascii="Arial" w:hAnsi="Arial" w:cs="Arial"/>
          <w:iCs/>
          <w:sz w:val="22"/>
          <w:szCs w:val="22"/>
        </w:rPr>
        <w:t>90</w:t>
      </w:r>
      <w:r w:rsidR="00A90D7D" w:rsidRPr="00A90D7D">
        <w:rPr>
          <w:rFonts w:ascii="Arial" w:hAnsi="Arial" w:cs="Arial"/>
          <w:iCs/>
          <w:sz w:val="22"/>
          <w:szCs w:val="22"/>
        </w:rPr>
        <w:t xml:space="preserve">%) così come fanno, </w:t>
      </w:r>
      <w:r w:rsidR="00553D7D">
        <w:rPr>
          <w:rFonts w:ascii="Arial" w:hAnsi="Arial" w:cs="Arial"/>
          <w:iCs/>
          <w:sz w:val="22"/>
          <w:szCs w:val="22"/>
        </w:rPr>
        <w:t xml:space="preserve">ma </w:t>
      </w:r>
      <w:r w:rsidR="00A90D7D" w:rsidRPr="00A90D7D">
        <w:rPr>
          <w:rFonts w:ascii="Arial" w:hAnsi="Arial" w:cs="Arial"/>
          <w:iCs/>
          <w:sz w:val="22"/>
          <w:szCs w:val="22"/>
        </w:rPr>
        <w:t>in misura molto più contenuta, i cittadini italiani nativi dell’America Latina (2</w:t>
      </w:r>
      <w:r w:rsidR="001E5F21">
        <w:rPr>
          <w:rFonts w:ascii="Arial" w:hAnsi="Arial" w:cs="Arial"/>
          <w:iCs/>
          <w:sz w:val="22"/>
          <w:szCs w:val="22"/>
        </w:rPr>
        <w:t>6</w:t>
      </w:r>
      <w:r w:rsidR="00A90D7D" w:rsidRPr="00A90D7D">
        <w:rPr>
          <w:rFonts w:ascii="Arial" w:hAnsi="Arial" w:cs="Arial"/>
          <w:iCs/>
          <w:sz w:val="22"/>
          <w:szCs w:val="22"/>
        </w:rPr>
        <w:t xml:space="preserve">%). I cittadini nati </w:t>
      </w:r>
      <w:r w:rsidR="005D3F55">
        <w:rPr>
          <w:rFonts w:ascii="Arial" w:hAnsi="Arial" w:cs="Arial"/>
          <w:iCs/>
          <w:sz w:val="22"/>
          <w:szCs w:val="22"/>
        </w:rPr>
        <w:t>in un paese dell’</w:t>
      </w:r>
      <w:r w:rsidR="00A90D7D" w:rsidRPr="00A90D7D">
        <w:rPr>
          <w:rFonts w:ascii="Arial" w:hAnsi="Arial" w:cs="Arial"/>
          <w:iCs/>
          <w:sz w:val="22"/>
          <w:szCs w:val="22"/>
        </w:rPr>
        <w:t>Ue invece emigrano soprattutto in Germania (</w:t>
      </w:r>
      <w:r w:rsidR="001E5F21">
        <w:rPr>
          <w:rFonts w:ascii="Arial" w:hAnsi="Arial" w:cs="Arial"/>
          <w:iCs/>
          <w:sz w:val="22"/>
          <w:szCs w:val="22"/>
        </w:rPr>
        <w:t>42</w:t>
      </w:r>
      <w:r w:rsidR="00A90D7D" w:rsidRPr="00A90D7D">
        <w:rPr>
          <w:rFonts w:ascii="Arial" w:hAnsi="Arial" w:cs="Arial"/>
          <w:iCs/>
          <w:sz w:val="22"/>
          <w:szCs w:val="22"/>
        </w:rPr>
        <w:t>%).</w:t>
      </w:r>
    </w:p>
    <w:p w14:paraId="70D4CE33" w14:textId="77777777" w:rsidR="00BD4B9C" w:rsidRDefault="00BD4B9C" w:rsidP="0024501A">
      <w:pPr>
        <w:spacing w:before="40"/>
        <w:rPr>
          <w:rFonts w:ascii="Arial" w:hAnsi="Arial" w:cs="Arial"/>
          <w:b/>
          <w:iCs/>
          <w:color w:val="1F497D" w:themeColor="text2"/>
          <w:sz w:val="26"/>
          <w:szCs w:val="26"/>
        </w:rPr>
      </w:pPr>
    </w:p>
    <w:p w14:paraId="59BB3330" w14:textId="77777777" w:rsidR="00E638D4" w:rsidRDefault="00E638D4" w:rsidP="0024501A">
      <w:pPr>
        <w:spacing w:before="40"/>
        <w:rPr>
          <w:rFonts w:ascii="Arial" w:hAnsi="Arial" w:cs="Arial"/>
          <w:b/>
          <w:iCs/>
          <w:color w:val="1F497D" w:themeColor="text2"/>
          <w:sz w:val="26"/>
          <w:szCs w:val="26"/>
        </w:rPr>
      </w:pPr>
    </w:p>
    <w:p w14:paraId="1E1C26F5" w14:textId="77777777" w:rsidR="00011DE9" w:rsidRDefault="00011DE9" w:rsidP="0024501A">
      <w:pPr>
        <w:spacing w:before="40"/>
        <w:rPr>
          <w:rFonts w:ascii="Arial" w:hAnsi="Arial" w:cs="Arial"/>
          <w:b/>
          <w:iCs/>
          <w:color w:val="1F497D" w:themeColor="text2"/>
          <w:sz w:val="26"/>
          <w:szCs w:val="26"/>
        </w:rPr>
      </w:pPr>
    </w:p>
    <w:p w14:paraId="0230B7B2" w14:textId="77777777" w:rsidR="00BA1FDF" w:rsidRDefault="00BA1FDF" w:rsidP="0024501A">
      <w:pPr>
        <w:spacing w:before="40"/>
        <w:rPr>
          <w:rFonts w:ascii="Arial" w:hAnsi="Arial" w:cs="Arial"/>
          <w:b/>
          <w:iCs/>
          <w:color w:val="1F497D" w:themeColor="text2"/>
          <w:sz w:val="26"/>
          <w:szCs w:val="26"/>
        </w:rPr>
      </w:pPr>
    </w:p>
    <w:p w14:paraId="73846FE6" w14:textId="77777777" w:rsidR="00FF70A8" w:rsidRDefault="00FF70A8" w:rsidP="0024501A">
      <w:pPr>
        <w:spacing w:before="40"/>
        <w:rPr>
          <w:rFonts w:ascii="Arial" w:hAnsi="Arial" w:cs="Arial"/>
          <w:b/>
          <w:iCs/>
          <w:color w:val="1F497D" w:themeColor="text2"/>
          <w:sz w:val="26"/>
          <w:szCs w:val="26"/>
        </w:rPr>
      </w:pPr>
    </w:p>
    <w:p w14:paraId="51DABC65" w14:textId="2A1BEE4F" w:rsidR="0027632B" w:rsidRDefault="0023067E" w:rsidP="0027632B">
      <w:pPr>
        <w:autoSpaceDE w:val="0"/>
        <w:autoSpaceDN w:val="0"/>
        <w:adjustRightInd w:val="0"/>
        <w:rPr>
          <w:rFonts w:ascii="Arial Narrow" w:hAnsi="Arial Narrow" w:cs="Arial"/>
          <w:iCs/>
          <w:noProof/>
          <w:color w:val="1F497D" w:themeColor="text2"/>
          <w:sz w:val="22"/>
          <w:szCs w:val="22"/>
        </w:rPr>
      </w:pPr>
      <w:r>
        <w:rPr>
          <w:rFonts w:ascii="Arial Black" w:hAnsi="Arial Black" w:cs="Arial"/>
          <w:iCs/>
          <w:noProof/>
          <w:color w:val="1F497D" w:themeColor="text2"/>
          <w:sz w:val="22"/>
          <w:szCs w:val="22"/>
        </w:rPr>
        <w:t xml:space="preserve">FIGURA </w:t>
      </w:r>
      <w:r w:rsidR="004D22B4">
        <w:rPr>
          <w:rFonts w:ascii="Arial Black" w:hAnsi="Arial Black" w:cs="Arial"/>
          <w:iCs/>
          <w:noProof/>
          <w:color w:val="1F497D" w:themeColor="text2"/>
          <w:sz w:val="22"/>
          <w:szCs w:val="22"/>
        </w:rPr>
        <w:t>1</w:t>
      </w:r>
      <w:r w:rsidR="0027632B" w:rsidRPr="005D02DA">
        <w:rPr>
          <w:rFonts w:ascii="Arial Black" w:hAnsi="Arial Black" w:cs="Arial"/>
          <w:iCs/>
          <w:noProof/>
          <w:color w:val="1F497D" w:themeColor="text2"/>
          <w:sz w:val="22"/>
          <w:szCs w:val="22"/>
        </w:rPr>
        <w:t>.</w:t>
      </w:r>
      <w:r w:rsidR="0027632B" w:rsidRPr="005D02DA">
        <w:rPr>
          <w:rFonts w:ascii="Arial Narrow" w:hAnsi="Arial Narrow" w:cs="Arial"/>
          <w:b/>
          <w:iCs/>
          <w:noProof/>
          <w:color w:val="1F497D" w:themeColor="text2"/>
          <w:sz w:val="22"/>
          <w:szCs w:val="22"/>
        </w:rPr>
        <w:t xml:space="preserve"> </w:t>
      </w:r>
      <w:r>
        <w:rPr>
          <w:rFonts w:ascii="Arial Narrow" w:hAnsi="Arial Narrow" w:cs="Arial"/>
          <w:b/>
          <w:iCs/>
          <w:noProof/>
          <w:color w:val="1F497D" w:themeColor="text2"/>
          <w:sz w:val="22"/>
          <w:szCs w:val="22"/>
        </w:rPr>
        <w:t xml:space="preserve">EMIGRAZIONI DEI CITTADINI ITALIANI </w:t>
      </w:r>
      <w:r w:rsidR="00536953">
        <w:rPr>
          <w:rFonts w:ascii="Arial Narrow" w:hAnsi="Arial Narrow" w:cs="Arial"/>
          <w:b/>
          <w:iCs/>
          <w:noProof/>
          <w:color w:val="1F497D" w:themeColor="text2"/>
          <w:sz w:val="22"/>
          <w:szCs w:val="22"/>
        </w:rPr>
        <w:t>PER</w:t>
      </w:r>
      <w:r>
        <w:rPr>
          <w:rFonts w:ascii="Arial Narrow" w:hAnsi="Arial Narrow" w:cs="Arial"/>
          <w:b/>
          <w:iCs/>
          <w:noProof/>
          <w:color w:val="1F497D" w:themeColor="text2"/>
          <w:sz w:val="22"/>
          <w:szCs w:val="22"/>
        </w:rPr>
        <w:t xml:space="preserve"> I PRINCIPALI PAESI </w:t>
      </w:r>
      <w:r w:rsidR="00536953">
        <w:rPr>
          <w:rFonts w:ascii="Arial Narrow" w:hAnsi="Arial Narrow" w:cs="Arial"/>
          <w:b/>
          <w:iCs/>
          <w:noProof/>
          <w:color w:val="1F497D" w:themeColor="text2"/>
          <w:sz w:val="22"/>
          <w:szCs w:val="22"/>
        </w:rPr>
        <w:t>DI DESTINAZIONE</w:t>
      </w:r>
      <w:r w:rsidR="0027632B" w:rsidRPr="00FB204E">
        <w:rPr>
          <w:rFonts w:ascii="Arial Narrow" w:hAnsi="Arial Narrow" w:cs="Arial"/>
          <w:b/>
          <w:iCs/>
          <w:noProof/>
          <w:color w:val="1F497D" w:themeColor="text2"/>
          <w:sz w:val="22"/>
          <w:szCs w:val="22"/>
        </w:rPr>
        <w:t>.</w:t>
      </w:r>
      <w:r w:rsidR="0027632B">
        <w:rPr>
          <w:rFonts w:ascii="Arial Narrow" w:hAnsi="Arial Narrow" w:cs="Arial"/>
          <w:b/>
          <w:iCs/>
          <w:noProof/>
          <w:color w:val="1F497D" w:themeColor="text2"/>
          <w:sz w:val="22"/>
          <w:szCs w:val="22"/>
        </w:rPr>
        <w:t xml:space="preserve"> </w:t>
      </w:r>
      <w:r w:rsidR="0027632B" w:rsidRPr="0012394C">
        <w:rPr>
          <w:rFonts w:ascii="Arial Narrow" w:hAnsi="Arial Narrow" w:cs="Arial"/>
          <w:iCs/>
          <w:noProof/>
          <w:color w:val="1F497D" w:themeColor="text2"/>
          <w:sz w:val="22"/>
          <w:szCs w:val="22"/>
        </w:rPr>
        <w:t>Ann</w:t>
      </w:r>
      <w:r w:rsidR="0027632B">
        <w:rPr>
          <w:rFonts w:ascii="Arial Narrow" w:hAnsi="Arial Narrow" w:cs="Arial"/>
          <w:iCs/>
          <w:noProof/>
          <w:color w:val="1F497D" w:themeColor="text2"/>
          <w:sz w:val="22"/>
          <w:szCs w:val="22"/>
        </w:rPr>
        <w:t>i</w:t>
      </w:r>
      <w:r w:rsidR="0027632B" w:rsidRPr="0012394C">
        <w:rPr>
          <w:rFonts w:ascii="Arial Narrow" w:hAnsi="Arial Narrow" w:cs="Arial"/>
          <w:iCs/>
          <w:noProof/>
          <w:color w:val="1F497D" w:themeColor="text2"/>
          <w:sz w:val="22"/>
          <w:szCs w:val="22"/>
        </w:rPr>
        <w:t xml:space="preserve"> </w:t>
      </w:r>
      <w:r>
        <w:rPr>
          <w:rFonts w:ascii="Arial Narrow" w:hAnsi="Arial Narrow" w:cs="Arial"/>
          <w:iCs/>
          <w:noProof/>
          <w:color w:val="1F497D" w:themeColor="text2"/>
          <w:sz w:val="22"/>
          <w:szCs w:val="22"/>
        </w:rPr>
        <w:t>2009</w:t>
      </w:r>
      <w:r w:rsidR="0027632B">
        <w:rPr>
          <w:rFonts w:ascii="Arial Narrow" w:hAnsi="Arial Narrow" w:cs="Arial"/>
          <w:iCs/>
          <w:noProof/>
          <w:color w:val="1F497D" w:themeColor="text2"/>
          <w:sz w:val="22"/>
          <w:szCs w:val="22"/>
        </w:rPr>
        <w:t>-2018, valori assoluti</w:t>
      </w:r>
      <w:r w:rsidR="00831B51">
        <w:rPr>
          <w:rFonts w:ascii="Arial Narrow" w:hAnsi="Arial Narrow" w:cs="Arial"/>
          <w:iCs/>
          <w:noProof/>
          <w:color w:val="1F497D" w:themeColor="text2"/>
          <w:sz w:val="22"/>
          <w:szCs w:val="22"/>
        </w:rPr>
        <w:t xml:space="preserve"> in migliaia</w:t>
      </w:r>
    </w:p>
    <w:p w14:paraId="695DF16F" w14:textId="0C92244B" w:rsidR="007A6C99" w:rsidRDefault="00AC276D" w:rsidP="001C29D4">
      <w:pPr>
        <w:autoSpaceDE w:val="0"/>
        <w:autoSpaceDN w:val="0"/>
        <w:adjustRightInd w:val="0"/>
        <w:rPr>
          <w:rFonts w:ascii="Arial" w:hAnsi="Arial" w:cs="Arial"/>
          <w:b/>
          <w:iCs/>
          <w:color w:val="1F497D" w:themeColor="text2"/>
          <w:sz w:val="26"/>
          <w:szCs w:val="26"/>
        </w:rPr>
      </w:pPr>
      <w:r>
        <w:rPr>
          <w:noProof/>
        </w:rPr>
        <w:drawing>
          <wp:inline distT="0" distB="0" distL="0" distR="0" wp14:anchorId="2AB023D4" wp14:editId="3A0A0AA7">
            <wp:extent cx="6293011" cy="2320119"/>
            <wp:effectExtent l="0" t="0" r="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A6C99">
        <w:rPr>
          <w:rFonts w:ascii="Arial" w:hAnsi="Arial" w:cs="Arial"/>
          <w:b/>
          <w:iCs/>
          <w:color w:val="1F497D" w:themeColor="text2"/>
          <w:sz w:val="26"/>
          <w:szCs w:val="26"/>
        </w:rPr>
        <w:br w:type="page"/>
      </w:r>
    </w:p>
    <w:p w14:paraId="5404130E" w14:textId="77777777" w:rsidR="007A6C99" w:rsidRDefault="007A6C99" w:rsidP="00ED306D">
      <w:pPr>
        <w:spacing w:before="40"/>
        <w:jc w:val="both"/>
        <w:rPr>
          <w:rFonts w:ascii="Arial" w:hAnsi="Arial" w:cs="Arial"/>
          <w:b/>
          <w:iCs/>
          <w:color w:val="1F497D" w:themeColor="text2"/>
          <w:sz w:val="26"/>
          <w:szCs w:val="26"/>
        </w:rPr>
      </w:pPr>
    </w:p>
    <w:p w14:paraId="2145FAB1" w14:textId="7F941DF9" w:rsidR="007E6A9D" w:rsidRPr="007E6A9D" w:rsidRDefault="007E6A9D" w:rsidP="00ED306D">
      <w:pPr>
        <w:spacing w:before="40"/>
        <w:jc w:val="both"/>
        <w:rPr>
          <w:rFonts w:ascii="Arial" w:hAnsi="Arial" w:cs="Arial"/>
          <w:b/>
          <w:iCs/>
          <w:color w:val="1F497D" w:themeColor="text2"/>
          <w:sz w:val="26"/>
          <w:szCs w:val="26"/>
        </w:rPr>
      </w:pPr>
      <w:r w:rsidRPr="007E6A9D">
        <w:rPr>
          <w:rFonts w:ascii="Arial" w:hAnsi="Arial" w:cs="Arial"/>
          <w:b/>
          <w:iCs/>
          <w:color w:val="1F497D" w:themeColor="text2"/>
          <w:sz w:val="26"/>
          <w:szCs w:val="26"/>
        </w:rPr>
        <w:t xml:space="preserve">In </w:t>
      </w:r>
      <w:r w:rsidR="00ED306D">
        <w:rPr>
          <w:rFonts w:ascii="Arial" w:hAnsi="Arial" w:cs="Arial"/>
          <w:b/>
          <w:iCs/>
          <w:color w:val="1F497D" w:themeColor="text2"/>
          <w:sz w:val="26"/>
          <w:szCs w:val="26"/>
        </w:rPr>
        <w:t>dieci</w:t>
      </w:r>
      <w:r w:rsidRPr="007E6A9D">
        <w:rPr>
          <w:rFonts w:ascii="Arial" w:hAnsi="Arial" w:cs="Arial"/>
          <w:b/>
          <w:iCs/>
          <w:color w:val="1F497D" w:themeColor="text2"/>
          <w:sz w:val="26"/>
          <w:szCs w:val="26"/>
        </w:rPr>
        <w:t xml:space="preserve"> anni </w:t>
      </w:r>
      <w:r w:rsidR="000D1C88">
        <w:rPr>
          <w:rFonts w:ascii="Arial" w:hAnsi="Arial" w:cs="Arial"/>
          <w:b/>
          <w:iCs/>
          <w:color w:val="1F497D" w:themeColor="text2"/>
          <w:sz w:val="26"/>
          <w:szCs w:val="26"/>
        </w:rPr>
        <w:t>espatriati</w:t>
      </w:r>
      <w:r>
        <w:rPr>
          <w:rFonts w:ascii="Arial" w:hAnsi="Arial" w:cs="Arial"/>
          <w:b/>
          <w:iCs/>
          <w:color w:val="1F497D" w:themeColor="text2"/>
          <w:sz w:val="26"/>
          <w:szCs w:val="26"/>
        </w:rPr>
        <w:t xml:space="preserve"> circa </w:t>
      </w:r>
      <w:r w:rsidR="00C13B12">
        <w:rPr>
          <w:rFonts w:ascii="Arial" w:hAnsi="Arial" w:cs="Arial"/>
          <w:b/>
          <w:iCs/>
          <w:color w:val="1F497D" w:themeColor="text2"/>
          <w:sz w:val="26"/>
          <w:szCs w:val="26"/>
        </w:rPr>
        <w:t>18</w:t>
      </w:r>
      <w:r w:rsidR="00661BD5">
        <w:rPr>
          <w:rFonts w:ascii="Arial" w:hAnsi="Arial" w:cs="Arial"/>
          <w:b/>
          <w:iCs/>
          <w:color w:val="1F497D" w:themeColor="text2"/>
          <w:sz w:val="26"/>
          <w:szCs w:val="26"/>
        </w:rPr>
        <w:t>2</w:t>
      </w:r>
      <w:r>
        <w:rPr>
          <w:rFonts w:ascii="Arial" w:hAnsi="Arial" w:cs="Arial"/>
          <w:b/>
          <w:iCs/>
          <w:color w:val="1F497D" w:themeColor="text2"/>
          <w:sz w:val="26"/>
          <w:szCs w:val="26"/>
        </w:rPr>
        <w:t xml:space="preserve"> </w:t>
      </w:r>
      <w:r w:rsidR="00ED306D">
        <w:rPr>
          <w:rFonts w:ascii="Arial" w:hAnsi="Arial" w:cs="Arial"/>
          <w:b/>
          <w:iCs/>
          <w:color w:val="1F497D" w:themeColor="text2"/>
          <w:sz w:val="26"/>
          <w:szCs w:val="26"/>
        </w:rPr>
        <w:t>mila laureati</w:t>
      </w:r>
      <w:r w:rsidR="0062153A">
        <w:rPr>
          <w:rFonts w:ascii="Arial" w:hAnsi="Arial" w:cs="Arial"/>
          <w:b/>
          <w:iCs/>
          <w:color w:val="1F497D" w:themeColor="text2"/>
          <w:sz w:val="26"/>
          <w:szCs w:val="26"/>
        </w:rPr>
        <w:t xml:space="preserve"> </w:t>
      </w:r>
    </w:p>
    <w:p w14:paraId="14AF2554" w14:textId="313EDE40" w:rsidR="007F6E89" w:rsidRDefault="007F6E89" w:rsidP="00AA6286">
      <w:pPr>
        <w:autoSpaceDE w:val="0"/>
        <w:autoSpaceDN w:val="0"/>
        <w:adjustRightInd w:val="0"/>
        <w:spacing w:before="240"/>
        <w:jc w:val="both"/>
        <w:rPr>
          <w:rFonts w:ascii="Arial" w:hAnsi="Arial" w:cs="Arial"/>
          <w:iCs/>
          <w:sz w:val="22"/>
          <w:szCs w:val="22"/>
        </w:rPr>
      </w:pPr>
      <w:r>
        <w:rPr>
          <w:rFonts w:ascii="Arial" w:hAnsi="Arial" w:cs="Arial"/>
          <w:iCs/>
          <w:sz w:val="22"/>
          <w:szCs w:val="22"/>
        </w:rPr>
        <w:t>Nel 2018, g</w:t>
      </w:r>
      <w:r w:rsidRPr="00541110">
        <w:rPr>
          <w:rFonts w:ascii="Arial" w:hAnsi="Arial" w:cs="Arial"/>
          <w:iCs/>
          <w:sz w:val="22"/>
          <w:szCs w:val="22"/>
        </w:rPr>
        <w:t>li italiani espatriati sono prevalent</w:t>
      </w:r>
      <w:r>
        <w:rPr>
          <w:rFonts w:ascii="Arial" w:hAnsi="Arial" w:cs="Arial"/>
          <w:iCs/>
          <w:sz w:val="22"/>
          <w:szCs w:val="22"/>
        </w:rPr>
        <w:t>emente uomini (</w:t>
      </w:r>
      <w:r w:rsidR="00AA6286">
        <w:rPr>
          <w:rFonts w:ascii="Arial" w:hAnsi="Arial" w:cs="Arial"/>
          <w:iCs/>
          <w:sz w:val="22"/>
          <w:szCs w:val="22"/>
        </w:rPr>
        <w:t>56</w:t>
      </w:r>
      <w:r w:rsidRPr="00541110">
        <w:rPr>
          <w:rFonts w:ascii="Arial" w:hAnsi="Arial" w:cs="Arial"/>
          <w:iCs/>
          <w:sz w:val="22"/>
          <w:szCs w:val="22"/>
        </w:rPr>
        <w:t>%). Fino ai 25 anni, il contingente di emigrati e</w:t>
      </w:r>
      <w:r w:rsidR="00B46F15">
        <w:rPr>
          <w:rFonts w:ascii="Arial" w:hAnsi="Arial" w:cs="Arial"/>
          <w:iCs/>
          <w:sz w:val="22"/>
          <w:szCs w:val="22"/>
        </w:rPr>
        <w:t>d</w:t>
      </w:r>
      <w:r w:rsidRPr="00541110">
        <w:rPr>
          <w:rFonts w:ascii="Arial" w:hAnsi="Arial" w:cs="Arial"/>
          <w:iCs/>
          <w:sz w:val="22"/>
          <w:szCs w:val="22"/>
        </w:rPr>
        <w:t xml:space="preserve"> emigrate è ugualmente numeroso (</w:t>
      </w:r>
      <w:r w:rsidR="00233276">
        <w:rPr>
          <w:rFonts w:ascii="Arial" w:hAnsi="Arial" w:cs="Arial"/>
          <w:iCs/>
          <w:sz w:val="22"/>
          <w:szCs w:val="22"/>
        </w:rPr>
        <w:t xml:space="preserve">entrambi </w:t>
      </w:r>
      <w:r w:rsidRPr="00541110">
        <w:rPr>
          <w:rFonts w:ascii="Arial" w:hAnsi="Arial" w:cs="Arial"/>
          <w:iCs/>
          <w:sz w:val="22"/>
          <w:szCs w:val="22"/>
        </w:rPr>
        <w:t>18 mila) e presenta una distribuzione per età perfettamente sovrapponibile. A partire dai 26 anni fino alle età anziane, invece, gli emigrati iniziano a essere costantemente più</w:t>
      </w:r>
      <w:r>
        <w:rPr>
          <w:rFonts w:ascii="Arial" w:hAnsi="Arial" w:cs="Arial"/>
          <w:iCs/>
          <w:sz w:val="22"/>
          <w:szCs w:val="22"/>
        </w:rPr>
        <w:t xml:space="preserve"> numerosi delle emigrate: dai 75 </w:t>
      </w:r>
      <w:r w:rsidRPr="00541110">
        <w:rPr>
          <w:rFonts w:ascii="Arial" w:hAnsi="Arial" w:cs="Arial"/>
          <w:iCs/>
          <w:sz w:val="22"/>
          <w:szCs w:val="22"/>
        </w:rPr>
        <w:t xml:space="preserve">anni in poi le due distribuzioni tornano a sovrapporsi. L’età media degli </w:t>
      </w:r>
      <w:r w:rsidR="00F509F4">
        <w:rPr>
          <w:rFonts w:ascii="Arial" w:hAnsi="Arial" w:cs="Arial"/>
          <w:iCs/>
          <w:sz w:val="22"/>
          <w:szCs w:val="22"/>
        </w:rPr>
        <w:t>emigrati</w:t>
      </w:r>
      <w:r w:rsidR="00F509F4" w:rsidRPr="00541110">
        <w:rPr>
          <w:rFonts w:ascii="Arial" w:hAnsi="Arial" w:cs="Arial"/>
          <w:iCs/>
          <w:sz w:val="22"/>
          <w:szCs w:val="22"/>
        </w:rPr>
        <w:t xml:space="preserve"> </w:t>
      </w:r>
      <w:r w:rsidRPr="00541110">
        <w:rPr>
          <w:rFonts w:ascii="Arial" w:hAnsi="Arial" w:cs="Arial"/>
          <w:iCs/>
          <w:sz w:val="22"/>
          <w:szCs w:val="22"/>
        </w:rPr>
        <w:t xml:space="preserve">è di 33 anni per gli uomini e 30 per le donne. Un </w:t>
      </w:r>
      <w:r w:rsidR="00F509F4">
        <w:rPr>
          <w:rFonts w:ascii="Arial" w:hAnsi="Arial" w:cs="Arial"/>
          <w:iCs/>
          <w:sz w:val="22"/>
          <w:szCs w:val="22"/>
        </w:rPr>
        <w:t>emigrato</w:t>
      </w:r>
      <w:r w:rsidR="00F509F4" w:rsidRPr="00541110">
        <w:rPr>
          <w:rFonts w:ascii="Arial" w:hAnsi="Arial" w:cs="Arial"/>
          <w:iCs/>
          <w:sz w:val="22"/>
          <w:szCs w:val="22"/>
        </w:rPr>
        <w:t xml:space="preserve"> </w:t>
      </w:r>
      <w:r w:rsidRPr="00541110">
        <w:rPr>
          <w:rFonts w:ascii="Arial" w:hAnsi="Arial" w:cs="Arial"/>
          <w:iCs/>
          <w:sz w:val="22"/>
          <w:szCs w:val="22"/>
        </w:rPr>
        <w:t xml:space="preserve">su cinque ha meno di 20 anni, due su tre hanno un’età compresa tra i 20 e i 49 anni mentre la quota di ultracinquantenni è pari al </w:t>
      </w:r>
      <w:r>
        <w:rPr>
          <w:rFonts w:ascii="Arial" w:hAnsi="Arial" w:cs="Arial"/>
          <w:iCs/>
          <w:sz w:val="22"/>
          <w:szCs w:val="22"/>
        </w:rPr>
        <w:t>13</w:t>
      </w:r>
      <w:r w:rsidRPr="00541110">
        <w:rPr>
          <w:rFonts w:ascii="Arial" w:hAnsi="Arial" w:cs="Arial"/>
          <w:iCs/>
          <w:sz w:val="22"/>
          <w:szCs w:val="22"/>
        </w:rPr>
        <w:t>%.</w:t>
      </w:r>
    </w:p>
    <w:p w14:paraId="1E37D6DE" w14:textId="57C5DAB5" w:rsidR="007F6E89" w:rsidRDefault="007F6E89" w:rsidP="007F6E89">
      <w:pPr>
        <w:spacing w:before="240"/>
        <w:jc w:val="both"/>
        <w:rPr>
          <w:rFonts w:ascii="Arial" w:hAnsi="Arial" w:cs="Arial"/>
          <w:iCs/>
          <w:sz w:val="22"/>
          <w:szCs w:val="22"/>
        </w:rPr>
      </w:pPr>
      <w:r>
        <w:rPr>
          <w:rFonts w:ascii="Arial" w:hAnsi="Arial" w:cs="Arial"/>
          <w:iCs/>
          <w:sz w:val="22"/>
          <w:szCs w:val="22"/>
        </w:rPr>
        <w:t>Con</w:t>
      </w:r>
      <w:r w:rsidR="00951015">
        <w:rPr>
          <w:rFonts w:ascii="Arial" w:hAnsi="Arial" w:cs="Arial"/>
          <w:iCs/>
          <w:sz w:val="22"/>
          <w:szCs w:val="22"/>
        </w:rPr>
        <w:t>siderando i</w:t>
      </w:r>
      <w:r>
        <w:rPr>
          <w:rFonts w:ascii="Arial" w:hAnsi="Arial" w:cs="Arial"/>
          <w:iCs/>
          <w:sz w:val="22"/>
          <w:szCs w:val="22"/>
        </w:rPr>
        <w:t xml:space="preserve">l livello di istruzione posseduto al momento della partenza, </w:t>
      </w:r>
      <w:r w:rsidR="00AA6286">
        <w:rPr>
          <w:rFonts w:ascii="Arial" w:hAnsi="Arial" w:cs="Arial"/>
          <w:iCs/>
          <w:sz w:val="22"/>
          <w:szCs w:val="22"/>
        </w:rPr>
        <w:t xml:space="preserve">nel 2018 </w:t>
      </w:r>
      <w:r w:rsidRPr="005757AA">
        <w:rPr>
          <w:rFonts w:ascii="Arial" w:hAnsi="Arial" w:cs="Arial"/>
          <w:iCs/>
          <w:sz w:val="22"/>
          <w:szCs w:val="22"/>
        </w:rPr>
        <w:t xml:space="preserve">più della metà dei cittadini italiani che si </w:t>
      </w:r>
      <w:r w:rsidR="00951015">
        <w:rPr>
          <w:rFonts w:ascii="Arial" w:hAnsi="Arial" w:cs="Arial"/>
          <w:iCs/>
          <w:sz w:val="22"/>
          <w:szCs w:val="22"/>
        </w:rPr>
        <w:t xml:space="preserve">sono </w:t>
      </w:r>
      <w:r w:rsidRPr="005757AA">
        <w:rPr>
          <w:rFonts w:ascii="Arial" w:hAnsi="Arial" w:cs="Arial"/>
          <w:iCs/>
          <w:sz w:val="22"/>
          <w:szCs w:val="22"/>
        </w:rPr>
        <w:t>trasfer</w:t>
      </w:r>
      <w:r w:rsidR="00951015">
        <w:rPr>
          <w:rFonts w:ascii="Arial" w:hAnsi="Arial" w:cs="Arial"/>
          <w:iCs/>
          <w:sz w:val="22"/>
          <w:szCs w:val="22"/>
        </w:rPr>
        <w:t>iti</w:t>
      </w:r>
      <w:r w:rsidRPr="005757AA">
        <w:rPr>
          <w:rFonts w:ascii="Arial" w:hAnsi="Arial" w:cs="Arial"/>
          <w:iCs/>
          <w:sz w:val="22"/>
          <w:szCs w:val="22"/>
        </w:rPr>
        <w:t xml:space="preserve"> all’estero (53%) è in possesso di un titolo di studio medio-alto: si tratta di circa 33 mila diplomati e 29 mila laureati. Rispetto all’anno precedente </w:t>
      </w:r>
      <w:r w:rsidR="00951015">
        <w:rPr>
          <w:rFonts w:ascii="Arial" w:hAnsi="Arial" w:cs="Arial"/>
          <w:iCs/>
          <w:sz w:val="22"/>
          <w:szCs w:val="22"/>
        </w:rPr>
        <w:t>le</w:t>
      </w:r>
      <w:r w:rsidRPr="005757AA">
        <w:rPr>
          <w:rFonts w:ascii="Arial" w:hAnsi="Arial" w:cs="Arial"/>
          <w:iCs/>
          <w:sz w:val="22"/>
          <w:szCs w:val="22"/>
        </w:rPr>
        <w:t xml:space="preserve"> numero</w:t>
      </w:r>
      <w:r w:rsidR="00951015">
        <w:rPr>
          <w:rFonts w:ascii="Arial" w:hAnsi="Arial" w:cs="Arial"/>
          <w:iCs/>
          <w:sz w:val="22"/>
          <w:szCs w:val="22"/>
        </w:rPr>
        <w:t>sità</w:t>
      </w:r>
      <w:r w:rsidRPr="005757AA">
        <w:rPr>
          <w:rFonts w:ascii="Arial" w:hAnsi="Arial" w:cs="Arial"/>
          <w:iCs/>
          <w:sz w:val="22"/>
          <w:szCs w:val="22"/>
        </w:rPr>
        <w:t xml:space="preserve"> d</w:t>
      </w:r>
      <w:r w:rsidR="00951015">
        <w:rPr>
          <w:rFonts w:ascii="Arial" w:hAnsi="Arial" w:cs="Arial"/>
          <w:iCs/>
          <w:sz w:val="22"/>
          <w:szCs w:val="22"/>
        </w:rPr>
        <w:t>e</w:t>
      </w:r>
      <w:r w:rsidRPr="005757AA">
        <w:rPr>
          <w:rFonts w:ascii="Arial" w:hAnsi="Arial" w:cs="Arial"/>
          <w:iCs/>
          <w:sz w:val="22"/>
          <w:szCs w:val="22"/>
        </w:rPr>
        <w:t xml:space="preserve">i diplomati e laureati </w:t>
      </w:r>
      <w:r w:rsidR="00B46F15" w:rsidRPr="005757AA">
        <w:rPr>
          <w:rFonts w:ascii="Arial" w:hAnsi="Arial" w:cs="Arial"/>
          <w:iCs/>
          <w:sz w:val="22"/>
          <w:szCs w:val="22"/>
        </w:rPr>
        <w:t xml:space="preserve">emigrati </w:t>
      </w:r>
      <w:r w:rsidRPr="005757AA">
        <w:rPr>
          <w:rFonts w:ascii="Arial" w:hAnsi="Arial" w:cs="Arial"/>
          <w:iCs/>
          <w:sz w:val="22"/>
          <w:szCs w:val="22"/>
        </w:rPr>
        <w:t>sono in aumento (rispettivamente +1% e +6%). L’</w:t>
      </w:r>
      <w:r w:rsidR="00951015">
        <w:rPr>
          <w:rFonts w:ascii="Arial" w:hAnsi="Arial" w:cs="Arial"/>
          <w:iCs/>
          <w:sz w:val="22"/>
          <w:szCs w:val="22"/>
        </w:rPr>
        <w:t>incremento</w:t>
      </w:r>
      <w:r w:rsidRPr="005757AA">
        <w:rPr>
          <w:rFonts w:ascii="Arial" w:hAnsi="Arial" w:cs="Arial"/>
          <w:iCs/>
          <w:sz w:val="22"/>
          <w:szCs w:val="22"/>
        </w:rPr>
        <w:t xml:space="preserve"> è molto più consistente se si amplia l</w:t>
      </w:r>
      <w:r w:rsidR="00AA6286">
        <w:rPr>
          <w:rFonts w:ascii="Arial" w:hAnsi="Arial" w:cs="Arial"/>
          <w:iCs/>
          <w:sz w:val="22"/>
          <w:szCs w:val="22"/>
        </w:rPr>
        <w:t>o spettro temporale: rispetto a cinque anni prima</w:t>
      </w:r>
      <w:r w:rsidRPr="005757AA">
        <w:rPr>
          <w:rFonts w:ascii="Arial" w:hAnsi="Arial" w:cs="Arial"/>
          <w:iCs/>
          <w:sz w:val="22"/>
          <w:szCs w:val="22"/>
        </w:rPr>
        <w:t xml:space="preserve"> gli emigrati con titolo di studio medio-alto </w:t>
      </w:r>
      <w:r w:rsidR="00951015">
        <w:rPr>
          <w:rFonts w:ascii="Arial" w:hAnsi="Arial" w:cs="Arial"/>
          <w:iCs/>
          <w:sz w:val="22"/>
          <w:szCs w:val="22"/>
        </w:rPr>
        <w:t>crescono</w:t>
      </w:r>
      <w:r w:rsidRPr="005757AA">
        <w:rPr>
          <w:rFonts w:ascii="Arial" w:hAnsi="Arial" w:cs="Arial"/>
          <w:iCs/>
          <w:sz w:val="22"/>
          <w:szCs w:val="22"/>
        </w:rPr>
        <w:t xml:space="preserve"> del 45%.</w:t>
      </w:r>
    </w:p>
    <w:p w14:paraId="5F3AC3D6" w14:textId="0EFBA909" w:rsidR="005D3F55" w:rsidRDefault="005A0652" w:rsidP="00BA4F87">
      <w:pPr>
        <w:spacing w:before="240"/>
        <w:jc w:val="both"/>
        <w:rPr>
          <w:rFonts w:ascii="Arial" w:hAnsi="Arial" w:cs="Arial"/>
          <w:iCs/>
          <w:sz w:val="22"/>
          <w:szCs w:val="22"/>
        </w:rPr>
      </w:pPr>
      <w:r>
        <w:rPr>
          <w:rFonts w:ascii="Arial" w:hAnsi="Arial" w:cs="Arial"/>
          <w:iCs/>
          <w:sz w:val="22"/>
          <w:szCs w:val="22"/>
        </w:rPr>
        <w:t xml:space="preserve">Quasi tre cittadini italiani su </w:t>
      </w:r>
      <w:r w:rsidR="009A3C23">
        <w:rPr>
          <w:rFonts w:ascii="Arial" w:hAnsi="Arial" w:cs="Arial"/>
          <w:iCs/>
          <w:sz w:val="22"/>
          <w:szCs w:val="22"/>
        </w:rPr>
        <w:t xml:space="preserve">quattro </w:t>
      </w:r>
      <w:r>
        <w:rPr>
          <w:rFonts w:ascii="Arial" w:hAnsi="Arial" w:cs="Arial"/>
          <w:iCs/>
          <w:sz w:val="22"/>
          <w:szCs w:val="22"/>
        </w:rPr>
        <w:t>trasferitisi all’estero hanno 25 anni o più</w:t>
      </w:r>
      <w:r w:rsidR="00972EAD">
        <w:rPr>
          <w:rFonts w:ascii="Arial" w:hAnsi="Arial" w:cs="Arial"/>
          <w:iCs/>
          <w:sz w:val="22"/>
          <w:szCs w:val="22"/>
        </w:rPr>
        <w:t>:</w:t>
      </w:r>
      <w:r w:rsidR="0024501A" w:rsidRPr="00D877AC">
        <w:rPr>
          <w:rFonts w:ascii="Arial" w:hAnsi="Arial" w:cs="Arial"/>
          <w:iCs/>
          <w:sz w:val="22"/>
          <w:szCs w:val="22"/>
        </w:rPr>
        <w:t xml:space="preserve"> </w:t>
      </w:r>
      <w:r w:rsidR="007F6E89">
        <w:rPr>
          <w:rFonts w:ascii="Arial" w:hAnsi="Arial" w:cs="Arial"/>
          <w:iCs/>
          <w:sz w:val="22"/>
          <w:szCs w:val="22"/>
        </w:rPr>
        <w:t xml:space="preserve">sono poco più di 84 mila </w:t>
      </w:r>
      <w:r w:rsidR="004B40CD" w:rsidRPr="00D877AC">
        <w:rPr>
          <w:rFonts w:ascii="Arial" w:hAnsi="Arial" w:cs="Arial"/>
          <w:iCs/>
          <w:sz w:val="22"/>
          <w:szCs w:val="22"/>
        </w:rPr>
        <w:t>(</w:t>
      </w:r>
      <w:r w:rsidR="007F6E89">
        <w:rPr>
          <w:rFonts w:ascii="Arial" w:hAnsi="Arial" w:cs="Arial"/>
          <w:iCs/>
          <w:sz w:val="22"/>
          <w:szCs w:val="22"/>
        </w:rPr>
        <w:t>72</w:t>
      </w:r>
      <w:r w:rsidR="004B40CD" w:rsidRPr="00D877AC">
        <w:rPr>
          <w:rFonts w:ascii="Arial" w:hAnsi="Arial" w:cs="Arial"/>
          <w:iCs/>
          <w:sz w:val="22"/>
          <w:szCs w:val="22"/>
        </w:rPr>
        <w:t>% del totale degli espatriati</w:t>
      </w:r>
      <w:r w:rsidR="00F509F4" w:rsidRPr="00D877AC">
        <w:rPr>
          <w:rFonts w:ascii="Arial" w:hAnsi="Arial" w:cs="Arial"/>
          <w:iCs/>
          <w:sz w:val="22"/>
          <w:szCs w:val="22"/>
        </w:rPr>
        <w:t>)</w:t>
      </w:r>
      <w:r w:rsidR="00F509F4">
        <w:rPr>
          <w:rFonts w:ascii="Arial" w:hAnsi="Arial" w:cs="Arial"/>
          <w:iCs/>
          <w:sz w:val="22"/>
          <w:szCs w:val="22"/>
        </w:rPr>
        <w:t xml:space="preserve">; </w:t>
      </w:r>
      <w:r w:rsidR="007F6E89">
        <w:rPr>
          <w:rFonts w:ascii="Arial" w:hAnsi="Arial" w:cs="Arial"/>
          <w:iCs/>
          <w:sz w:val="22"/>
          <w:szCs w:val="22"/>
        </w:rPr>
        <w:t xml:space="preserve">di essi </w:t>
      </w:r>
      <w:r w:rsidR="00E67FE8">
        <w:rPr>
          <w:rFonts w:ascii="Arial" w:hAnsi="Arial" w:cs="Arial"/>
          <w:iCs/>
          <w:sz w:val="22"/>
          <w:szCs w:val="22"/>
        </w:rPr>
        <w:t>27 mila (32%)</w:t>
      </w:r>
      <w:r w:rsidR="00D877AC">
        <w:rPr>
          <w:rFonts w:ascii="Arial" w:hAnsi="Arial" w:cs="Arial"/>
          <w:iCs/>
          <w:sz w:val="22"/>
          <w:szCs w:val="22"/>
        </w:rPr>
        <w:t xml:space="preserve"> sono in possesso di </w:t>
      </w:r>
      <w:r w:rsidR="00962E83">
        <w:rPr>
          <w:rFonts w:ascii="Arial" w:hAnsi="Arial" w:cs="Arial"/>
          <w:iCs/>
          <w:sz w:val="22"/>
          <w:szCs w:val="22"/>
        </w:rPr>
        <w:t>almeno la laurea</w:t>
      </w:r>
      <w:r w:rsidR="00D877AC" w:rsidRPr="007F6E89">
        <w:rPr>
          <w:rFonts w:ascii="Arial" w:hAnsi="Arial" w:cs="Arial"/>
          <w:iCs/>
          <w:sz w:val="22"/>
          <w:szCs w:val="22"/>
        </w:rPr>
        <w:t>.</w:t>
      </w:r>
      <w:r w:rsidR="00EC18C7">
        <w:rPr>
          <w:rFonts w:ascii="Arial" w:hAnsi="Arial" w:cs="Arial"/>
          <w:iCs/>
          <w:sz w:val="22"/>
          <w:szCs w:val="22"/>
        </w:rPr>
        <w:t xml:space="preserve"> </w:t>
      </w:r>
      <w:r w:rsidR="00F509F4">
        <w:rPr>
          <w:rFonts w:ascii="Arial" w:hAnsi="Arial" w:cs="Arial"/>
          <w:iCs/>
          <w:sz w:val="22"/>
          <w:szCs w:val="22"/>
        </w:rPr>
        <w:t>In questa fascia d’età si riscontra una lieve differenza di genere</w:t>
      </w:r>
      <w:r w:rsidR="001E3573">
        <w:rPr>
          <w:rFonts w:ascii="Arial" w:hAnsi="Arial" w:cs="Arial"/>
          <w:iCs/>
          <w:sz w:val="22"/>
          <w:szCs w:val="22"/>
        </w:rPr>
        <w:t>:</w:t>
      </w:r>
      <w:r w:rsidR="00337DF9">
        <w:rPr>
          <w:rFonts w:ascii="Arial" w:hAnsi="Arial" w:cs="Arial"/>
          <w:iCs/>
          <w:sz w:val="22"/>
          <w:szCs w:val="22"/>
        </w:rPr>
        <w:t xml:space="preserve"> nel 2018 </w:t>
      </w:r>
      <w:r w:rsidR="001E3573">
        <w:rPr>
          <w:rFonts w:ascii="Arial" w:hAnsi="Arial" w:cs="Arial"/>
          <w:iCs/>
          <w:sz w:val="22"/>
          <w:szCs w:val="22"/>
        </w:rPr>
        <w:t xml:space="preserve">le italiane emigrate </w:t>
      </w:r>
      <w:r w:rsidR="00337DF9">
        <w:rPr>
          <w:rFonts w:ascii="Arial" w:hAnsi="Arial" w:cs="Arial"/>
          <w:iCs/>
          <w:sz w:val="22"/>
          <w:szCs w:val="22"/>
        </w:rPr>
        <w:t xml:space="preserve">sono circa il 42% </w:t>
      </w:r>
      <w:r w:rsidR="000F4EE1">
        <w:rPr>
          <w:rFonts w:ascii="Arial" w:hAnsi="Arial" w:cs="Arial"/>
          <w:iCs/>
          <w:sz w:val="22"/>
          <w:szCs w:val="22"/>
        </w:rPr>
        <w:t xml:space="preserve">e </w:t>
      </w:r>
      <w:r w:rsidR="00997810">
        <w:rPr>
          <w:rFonts w:ascii="Arial" w:hAnsi="Arial" w:cs="Arial"/>
          <w:iCs/>
          <w:sz w:val="22"/>
          <w:szCs w:val="22"/>
        </w:rPr>
        <w:t xml:space="preserve">di esse oltre il 35% è in possesso di almeno la laurea, </w:t>
      </w:r>
      <w:r w:rsidR="00F509F4">
        <w:rPr>
          <w:rFonts w:ascii="Arial" w:hAnsi="Arial" w:cs="Arial"/>
          <w:iCs/>
          <w:sz w:val="22"/>
          <w:szCs w:val="22"/>
        </w:rPr>
        <w:t>mentre, tra gli italiani che espatriano (</w:t>
      </w:r>
      <w:r w:rsidR="00F509F4" w:rsidRPr="00E638D4">
        <w:rPr>
          <w:rFonts w:ascii="Arial" w:hAnsi="Arial" w:cs="Arial"/>
          <w:iCs/>
          <w:sz w:val="22"/>
          <w:szCs w:val="22"/>
        </w:rPr>
        <w:t>58%),</w:t>
      </w:r>
      <w:r w:rsidR="00F509F4">
        <w:rPr>
          <w:rFonts w:ascii="Arial" w:hAnsi="Arial" w:cs="Arial"/>
          <w:iCs/>
          <w:sz w:val="22"/>
          <w:szCs w:val="22"/>
        </w:rPr>
        <w:t xml:space="preserve"> la quota di laureati è pari al </w:t>
      </w:r>
      <w:r w:rsidR="00F509F4" w:rsidRPr="00E638D4">
        <w:rPr>
          <w:rFonts w:ascii="Arial" w:hAnsi="Arial" w:cs="Arial"/>
          <w:iCs/>
          <w:sz w:val="22"/>
          <w:szCs w:val="22"/>
        </w:rPr>
        <w:t>30%</w:t>
      </w:r>
      <w:r w:rsidR="00057287" w:rsidRPr="00E638D4">
        <w:rPr>
          <w:rFonts w:ascii="Arial" w:hAnsi="Arial" w:cs="Arial"/>
          <w:iCs/>
          <w:sz w:val="22"/>
          <w:szCs w:val="22"/>
        </w:rPr>
        <w:t>.</w:t>
      </w:r>
      <w:r w:rsidR="006150F2">
        <w:rPr>
          <w:rFonts w:ascii="Arial" w:hAnsi="Arial" w:cs="Arial"/>
          <w:iCs/>
          <w:sz w:val="22"/>
          <w:szCs w:val="22"/>
        </w:rPr>
        <w:t xml:space="preserve"> </w:t>
      </w:r>
      <w:r w:rsidR="00BA6ECF">
        <w:rPr>
          <w:rFonts w:ascii="Arial" w:hAnsi="Arial" w:cs="Arial"/>
          <w:iCs/>
          <w:sz w:val="22"/>
          <w:szCs w:val="22"/>
        </w:rPr>
        <w:t>Rispetto al 2009, l’aumento degli espatri di laureati è più evidente tra le donne (+10 punti percentu</w:t>
      </w:r>
      <w:r w:rsidR="00BA4F87">
        <w:rPr>
          <w:rFonts w:ascii="Arial" w:hAnsi="Arial" w:cs="Arial"/>
          <w:iCs/>
          <w:sz w:val="22"/>
          <w:szCs w:val="22"/>
        </w:rPr>
        <w:t xml:space="preserve">ali) </w:t>
      </w:r>
      <w:r w:rsidR="00972EAD">
        <w:rPr>
          <w:rFonts w:ascii="Arial" w:hAnsi="Arial" w:cs="Arial"/>
          <w:iCs/>
          <w:sz w:val="22"/>
          <w:szCs w:val="22"/>
        </w:rPr>
        <w:t>che</w:t>
      </w:r>
      <w:r w:rsidR="009A3C23">
        <w:rPr>
          <w:rFonts w:ascii="Arial" w:hAnsi="Arial" w:cs="Arial"/>
          <w:iCs/>
          <w:sz w:val="22"/>
          <w:szCs w:val="22"/>
        </w:rPr>
        <w:t xml:space="preserve"> tra gli </w:t>
      </w:r>
      <w:r w:rsidR="00BA4F87">
        <w:rPr>
          <w:rFonts w:ascii="Arial" w:hAnsi="Arial" w:cs="Arial"/>
          <w:iCs/>
          <w:sz w:val="22"/>
          <w:szCs w:val="22"/>
        </w:rPr>
        <w:t xml:space="preserve">uomini (+7%), </w:t>
      </w:r>
      <w:r w:rsidR="00BA4F87" w:rsidRPr="00BA4F87">
        <w:rPr>
          <w:rFonts w:ascii="Arial" w:hAnsi="Arial" w:cs="Arial"/>
          <w:iCs/>
          <w:sz w:val="22"/>
          <w:szCs w:val="22"/>
        </w:rPr>
        <w:t>Tale incremento</w:t>
      </w:r>
      <w:r w:rsidR="00BA4F87">
        <w:rPr>
          <w:rFonts w:ascii="Arial" w:hAnsi="Arial" w:cs="Arial"/>
          <w:iCs/>
          <w:sz w:val="22"/>
          <w:szCs w:val="22"/>
        </w:rPr>
        <w:t xml:space="preserve"> </w:t>
      </w:r>
      <w:r w:rsidR="00BA4F87" w:rsidRPr="00BA4F87">
        <w:rPr>
          <w:rFonts w:ascii="Arial" w:hAnsi="Arial" w:cs="Arial"/>
          <w:iCs/>
          <w:sz w:val="22"/>
          <w:szCs w:val="22"/>
        </w:rPr>
        <w:t>risente in parte del</w:t>
      </w:r>
      <w:r w:rsidR="00C300AC">
        <w:rPr>
          <w:rFonts w:ascii="Arial" w:hAnsi="Arial" w:cs="Arial"/>
          <w:iCs/>
          <w:sz w:val="22"/>
          <w:szCs w:val="22"/>
        </w:rPr>
        <w:t>l’</w:t>
      </w:r>
      <w:r w:rsidR="00BA4F87" w:rsidRPr="00BA4F87">
        <w:rPr>
          <w:rFonts w:ascii="Arial" w:hAnsi="Arial" w:cs="Arial"/>
          <w:iCs/>
          <w:sz w:val="22"/>
          <w:szCs w:val="22"/>
        </w:rPr>
        <w:t>aumento contestuale de</w:t>
      </w:r>
      <w:r w:rsidR="00CC2333">
        <w:rPr>
          <w:rFonts w:ascii="Arial" w:hAnsi="Arial" w:cs="Arial"/>
          <w:iCs/>
          <w:sz w:val="22"/>
          <w:szCs w:val="22"/>
        </w:rPr>
        <w:t xml:space="preserve">ll’incidenza di donne </w:t>
      </w:r>
      <w:r w:rsidR="00BA4F87" w:rsidRPr="00BA4F87">
        <w:rPr>
          <w:rFonts w:ascii="Arial" w:hAnsi="Arial" w:cs="Arial"/>
          <w:iCs/>
          <w:sz w:val="22"/>
          <w:szCs w:val="22"/>
        </w:rPr>
        <w:t>laureat</w:t>
      </w:r>
      <w:r w:rsidR="00CC2333">
        <w:rPr>
          <w:rFonts w:ascii="Arial" w:hAnsi="Arial" w:cs="Arial"/>
          <w:iCs/>
          <w:sz w:val="22"/>
          <w:szCs w:val="22"/>
        </w:rPr>
        <w:t>e</w:t>
      </w:r>
      <w:r w:rsidR="00BA4F87" w:rsidRPr="00BA4F87">
        <w:rPr>
          <w:rFonts w:ascii="Arial" w:hAnsi="Arial" w:cs="Arial"/>
          <w:iCs/>
          <w:sz w:val="22"/>
          <w:szCs w:val="22"/>
        </w:rPr>
        <w:t xml:space="preserve"> nella popolazione</w:t>
      </w:r>
      <w:r w:rsidR="00CC2333">
        <w:rPr>
          <w:rFonts w:ascii="Arial" w:hAnsi="Arial" w:cs="Arial"/>
          <w:iCs/>
          <w:sz w:val="22"/>
          <w:szCs w:val="22"/>
        </w:rPr>
        <w:t xml:space="preserve"> </w:t>
      </w:r>
      <w:r w:rsidR="00BA4F87" w:rsidRPr="00BA4F87">
        <w:rPr>
          <w:rFonts w:ascii="Arial" w:hAnsi="Arial" w:cs="Arial"/>
          <w:iCs/>
          <w:sz w:val="22"/>
          <w:szCs w:val="22"/>
        </w:rPr>
        <w:t xml:space="preserve">(dal </w:t>
      </w:r>
      <w:r w:rsidR="00C300AC">
        <w:rPr>
          <w:rFonts w:ascii="Arial" w:hAnsi="Arial" w:cs="Arial"/>
          <w:iCs/>
          <w:sz w:val="22"/>
          <w:szCs w:val="22"/>
        </w:rPr>
        <w:t>5,3%</w:t>
      </w:r>
      <w:r w:rsidR="00BA4F87" w:rsidRPr="00BA4F87">
        <w:rPr>
          <w:rFonts w:ascii="Arial" w:hAnsi="Arial" w:cs="Arial"/>
          <w:iCs/>
          <w:sz w:val="22"/>
          <w:szCs w:val="22"/>
        </w:rPr>
        <w:t xml:space="preserve"> del 2008 al </w:t>
      </w:r>
      <w:r w:rsidR="00C300AC">
        <w:rPr>
          <w:rFonts w:ascii="Arial" w:hAnsi="Arial" w:cs="Arial"/>
          <w:iCs/>
          <w:sz w:val="22"/>
          <w:szCs w:val="22"/>
        </w:rPr>
        <w:t>7,5%</w:t>
      </w:r>
      <w:r w:rsidR="00BA4F87" w:rsidRPr="00BA4F87">
        <w:rPr>
          <w:rFonts w:ascii="Arial" w:hAnsi="Arial" w:cs="Arial"/>
          <w:iCs/>
          <w:sz w:val="22"/>
          <w:szCs w:val="22"/>
        </w:rPr>
        <w:t xml:space="preserve"> del 201</w:t>
      </w:r>
      <w:r w:rsidR="00C300AC">
        <w:rPr>
          <w:rFonts w:ascii="Arial" w:hAnsi="Arial" w:cs="Arial"/>
          <w:iCs/>
          <w:sz w:val="22"/>
          <w:szCs w:val="22"/>
        </w:rPr>
        <w:t>8</w:t>
      </w:r>
      <w:r w:rsidR="00BA4F87" w:rsidRPr="00BA4F87">
        <w:rPr>
          <w:rFonts w:ascii="Arial" w:hAnsi="Arial" w:cs="Arial"/>
          <w:iCs/>
          <w:sz w:val="22"/>
          <w:szCs w:val="22"/>
        </w:rPr>
        <w:t xml:space="preserve">). </w:t>
      </w:r>
      <w:r w:rsidR="00BA6ECF">
        <w:rPr>
          <w:rFonts w:ascii="Arial" w:hAnsi="Arial" w:cs="Arial"/>
          <w:iCs/>
          <w:sz w:val="22"/>
          <w:szCs w:val="22"/>
        </w:rPr>
        <w:t xml:space="preserve">(Figura </w:t>
      </w:r>
      <w:r w:rsidR="009A3C23">
        <w:rPr>
          <w:rFonts w:ascii="Arial" w:hAnsi="Arial" w:cs="Arial"/>
          <w:iCs/>
          <w:sz w:val="22"/>
          <w:szCs w:val="22"/>
        </w:rPr>
        <w:t>2</w:t>
      </w:r>
      <w:r w:rsidR="00BA6ECF">
        <w:rPr>
          <w:rFonts w:ascii="Arial" w:hAnsi="Arial" w:cs="Arial"/>
          <w:iCs/>
          <w:sz w:val="22"/>
          <w:szCs w:val="22"/>
        </w:rPr>
        <w:t>).</w:t>
      </w:r>
    </w:p>
    <w:p w14:paraId="4998DDFD" w14:textId="14C72392" w:rsidR="00593B92" w:rsidRPr="00B26B9F" w:rsidRDefault="00593B92" w:rsidP="00D877AC">
      <w:pPr>
        <w:spacing w:before="240"/>
        <w:jc w:val="both"/>
        <w:rPr>
          <w:rFonts w:ascii="Arial" w:hAnsi="Arial" w:cs="Arial"/>
          <w:i/>
          <w:iCs/>
          <w:sz w:val="22"/>
          <w:szCs w:val="22"/>
        </w:rPr>
      </w:pPr>
      <w:r w:rsidRPr="00661BD5">
        <w:rPr>
          <w:rFonts w:ascii="Arial" w:hAnsi="Arial" w:cs="Arial"/>
          <w:iCs/>
          <w:sz w:val="22"/>
          <w:szCs w:val="22"/>
        </w:rPr>
        <w:t>L’altra</w:t>
      </w:r>
      <w:r w:rsidR="009276FF" w:rsidRPr="00661BD5">
        <w:rPr>
          <w:rFonts w:ascii="Arial" w:hAnsi="Arial" w:cs="Arial"/>
          <w:iCs/>
          <w:sz w:val="22"/>
          <w:szCs w:val="22"/>
        </w:rPr>
        <w:t xml:space="preserve"> faccia della medaglia è costituita dai </w:t>
      </w:r>
      <w:r w:rsidR="009276FF" w:rsidRPr="00E638D4">
        <w:rPr>
          <w:rFonts w:ascii="Arial" w:hAnsi="Arial" w:cs="Arial"/>
          <w:iCs/>
          <w:sz w:val="22"/>
          <w:szCs w:val="22"/>
        </w:rPr>
        <w:t>rimpatri</w:t>
      </w:r>
      <w:r w:rsidR="00D90ABF" w:rsidRPr="00E638D4">
        <w:rPr>
          <w:rFonts w:ascii="Arial" w:hAnsi="Arial" w:cs="Arial"/>
          <w:iCs/>
          <w:sz w:val="22"/>
          <w:szCs w:val="22"/>
        </w:rPr>
        <w:t>:</w:t>
      </w:r>
      <w:r w:rsidR="009276FF" w:rsidRPr="00E638D4">
        <w:rPr>
          <w:rFonts w:ascii="Arial" w:hAnsi="Arial" w:cs="Arial"/>
          <w:iCs/>
          <w:sz w:val="22"/>
          <w:szCs w:val="22"/>
        </w:rPr>
        <w:t xml:space="preserve"> </w:t>
      </w:r>
      <w:r w:rsidR="00D90ABF" w:rsidRPr="00E638D4">
        <w:rPr>
          <w:rFonts w:ascii="Arial" w:hAnsi="Arial" w:cs="Arial"/>
          <w:iCs/>
          <w:sz w:val="22"/>
          <w:szCs w:val="22"/>
        </w:rPr>
        <w:t xml:space="preserve">nel 2018, </w:t>
      </w:r>
      <w:r w:rsidR="009A3C23">
        <w:rPr>
          <w:rFonts w:ascii="Arial" w:hAnsi="Arial" w:cs="Arial"/>
          <w:iCs/>
          <w:sz w:val="22"/>
          <w:szCs w:val="22"/>
        </w:rPr>
        <w:t xml:space="preserve">considerando </w:t>
      </w:r>
      <w:r w:rsidR="009276FF" w:rsidRPr="00E638D4">
        <w:rPr>
          <w:rFonts w:ascii="Arial" w:hAnsi="Arial" w:cs="Arial"/>
          <w:iCs/>
          <w:sz w:val="22"/>
          <w:szCs w:val="22"/>
        </w:rPr>
        <w:t xml:space="preserve">il rientro degli italiani di 25 anni e più con </w:t>
      </w:r>
      <w:r w:rsidR="00997810" w:rsidRPr="00E638D4">
        <w:rPr>
          <w:rFonts w:ascii="Arial" w:hAnsi="Arial" w:cs="Arial"/>
          <w:iCs/>
          <w:sz w:val="22"/>
          <w:szCs w:val="22"/>
        </w:rPr>
        <w:t>almeno la laurea</w:t>
      </w:r>
      <w:r w:rsidR="006150F2" w:rsidRPr="00E638D4">
        <w:rPr>
          <w:rFonts w:ascii="Arial" w:hAnsi="Arial" w:cs="Arial"/>
          <w:iCs/>
          <w:sz w:val="22"/>
          <w:szCs w:val="22"/>
        </w:rPr>
        <w:t xml:space="preserve"> (</w:t>
      </w:r>
      <w:r w:rsidR="00661BD5" w:rsidRPr="00E638D4">
        <w:rPr>
          <w:rFonts w:ascii="Arial" w:hAnsi="Arial" w:cs="Arial"/>
          <w:iCs/>
          <w:sz w:val="22"/>
          <w:szCs w:val="22"/>
        </w:rPr>
        <w:t>13 mila</w:t>
      </w:r>
      <w:r w:rsidR="006150F2" w:rsidRPr="00E638D4">
        <w:rPr>
          <w:rFonts w:ascii="Arial" w:hAnsi="Arial" w:cs="Arial"/>
          <w:iCs/>
          <w:sz w:val="22"/>
          <w:szCs w:val="22"/>
        </w:rPr>
        <w:t>)</w:t>
      </w:r>
      <w:r w:rsidR="00E67FE8" w:rsidRPr="00E638D4">
        <w:rPr>
          <w:rFonts w:ascii="Arial" w:hAnsi="Arial" w:cs="Arial"/>
          <w:iCs/>
          <w:sz w:val="22"/>
          <w:szCs w:val="22"/>
        </w:rPr>
        <w:t xml:space="preserve">, la perdita netta (differenza tra rimpatri ed espatri) di popolazione “qualificata” è </w:t>
      </w:r>
      <w:r w:rsidR="00661BD5" w:rsidRPr="00E638D4">
        <w:rPr>
          <w:rFonts w:ascii="Arial" w:hAnsi="Arial" w:cs="Arial"/>
          <w:iCs/>
          <w:sz w:val="22"/>
          <w:szCs w:val="22"/>
        </w:rPr>
        <w:t>di 14 mila</w:t>
      </w:r>
      <w:r w:rsidR="00E67FE8" w:rsidRPr="00E638D4">
        <w:rPr>
          <w:rFonts w:ascii="Arial" w:hAnsi="Arial" w:cs="Arial"/>
          <w:iCs/>
          <w:sz w:val="22"/>
          <w:szCs w:val="22"/>
        </w:rPr>
        <w:t xml:space="preserve"> unità</w:t>
      </w:r>
      <w:r w:rsidR="00EA60AC">
        <w:rPr>
          <w:rFonts w:ascii="Arial" w:hAnsi="Arial" w:cs="Arial"/>
          <w:iCs/>
          <w:sz w:val="22"/>
          <w:szCs w:val="22"/>
        </w:rPr>
        <w:t xml:space="preserve">. </w:t>
      </w:r>
      <w:r w:rsidR="00EA60AC" w:rsidRPr="00B26B9F">
        <w:rPr>
          <w:rFonts w:ascii="Arial" w:hAnsi="Arial" w:cs="Arial"/>
          <w:iCs/>
          <w:sz w:val="22"/>
          <w:szCs w:val="22"/>
        </w:rPr>
        <w:t xml:space="preserve">Tale perdita riferita agli ultimi </w:t>
      </w:r>
      <w:r w:rsidR="00B26B9F" w:rsidRPr="00B26B9F">
        <w:rPr>
          <w:rFonts w:ascii="Arial" w:hAnsi="Arial" w:cs="Arial"/>
          <w:iCs/>
          <w:sz w:val="22"/>
          <w:szCs w:val="22"/>
        </w:rPr>
        <w:t>dieci</w:t>
      </w:r>
      <w:r w:rsidR="00EA60AC" w:rsidRPr="00B26B9F">
        <w:rPr>
          <w:rFonts w:ascii="Arial" w:hAnsi="Arial" w:cs="Arial"/>
          <w:iCs/>
          <w:sz w:val="22"/>
          <w:szCs w:val="22"/>
        </w:rPr>
        <w:t xml:space="preserve"> anni ammonta complessivamente a </w:t>
      </w:r>
      <w:r w:rsidR="00C13B12">
        <w:rPr>
          <w:rFonts w:ascii="Arial" w:hAnsi="Arial" w:cs="Arial"/>
          <w:iCs/>
          <w:sz w:val="22"/>
          <w:szCs w:val="22"/>
        </w:rPr>
        <w:t>poco meno di</w:t>
      </w:r>
      <w:r w:rsidR="00EA60AC" w:rsidRPr="00B26B9F">
        <w:rPr>
          <w:rFonts w:ascii="Arial" w:hAnsi="Arial" w:cs="Arial"/>
          <w:iCs/>
          <w:sz w:val="22"/>
          <w:szCs w:val="22"/>
        </w:rPr>
        <w:t xml:space="preserve"> </w:t>
      </w:r>
      <w:r w:rsidR="00B26B9F" w:rsidRPr="00B26B9F">
        <w:rPr>
          <w:rFonts w:ascii="Arial" w:hAnsi="Arial" w:cs="Arial"/>
          <w:iCs/>
          <w:sz w:val="22"/>
          <w:szCs w:val="22"/>
        </w:rPr>
        <w:t>101</w:t>
      </w:r>
      <w:r w:rsidR="00EA60AC" w:rsidRPr="00B26B9F">
        <w:rPr>
          <w:rFonts w:ascii="Arial" w:hAnsi="Arial" w:cs="Arial"/>
          <w:iCs/>
          <w:sz w:val="22"/>
          <w:szCs w:val="22"/>
        </w:rPr>
        <w:t xml:space="preserve"> mila unità.</w:t>
      </w:r>
      <w:r w:rsidR="00E67FE8" w:rsidRPr="00B26B9F">
        <w:rPr>
          <w:rFonts w:ascii="Arial" w:hAnsi="Arial" w:cs="Arial"/>
          <w:iCs/>
          <w:sz w:val="22"/>
          <w:szCs w:val="22"/>
        </w:rPr>
        <w:t xml:space="preserve"> </w:t>
      </w:r>
    </w:p>
    <w:p w14:paraId="08891F56" w14:textId="3D35654F" w:rsidR="008C1939" w:rsidRDefault="00D877AC" w:rsidP="005757AA">
      <w:pPr>
        <w:spacing w:before="240"/>
        <w:jc w:val="both"/>
        <w:rPr>
          <w:rFonts w:ascii="Arial" w:hAnsi="Arial" w:cs="Arial"/>
          <w:iCs/>
          <w:sz w:val="22"/>
          <w:szCs w:val="22"/>
          <w:highlight w:val="yellow"/>
        </w:rPr>
      </w:pPr>
      <w:r w:rsidRPr="00D877AC">
        <w:rPr>
          <w:rFonts w:ascii="Arial" w:hAnsi="Arial" w:cs="Arial"/>
          <w:iCs/>
          <w:sz w:val="22"/>
          <w:szCs w:val="22"/>
        </w:rPr>
        <w:t>L</w:t>
      </w:r>
      <w:r w:rsidR="00BE4973">
        <w:rPr>
          <w:rFonts w:ascii="Arial" w:hAnsi="Arial" w:cs="Arial"/>
          <w:iCs/>
          <w:sz w:val="22"/>
          <w:szCs w:val="22"/>
        </w:rPr>
        <w:t>a ripresa delle emigrazioni di cittadini italiani è</w:t>
      </w:r>
      <w:r w:rsidRPr="00D877AC">
        <w:rPr>
          <w:rFonts w:ascii="Arial" w:hAnsi="Arial" w:cs="Arial"/>
          <w:iCs/>
          <w:sz w:val="22"/>
          <w:szCs w:val="22"/>
        </w:rPr>
        <w:t xml:space="preserve"> da attribuire in parte all</w:t>
      </w:r>
      <w:r w:rsidR="004E2314">
        <w:rPr>
          <w:rFonts w:ascii="Arial" w:hAnsi="Arial" w:cs="Arial"/>
          <w:iCs/>
          <w:sz w:val="22"/>
          <w:szCs w:val="22"/>
        </w:rPr>
        <w:t>e difficoltà d</w:t>
      </w:r>
      <w:r w:rsidR="00BE4973">
        <w:rPr>
          <w:rFonts w:ascii="Arial" w:hAnsi="Arial" w:cs="Arial"/>
          <w:iCs/>
          <w:sz w:val="22"/>
          <w:szCs w:val="22"/>
        </w:rPr>
        <w:t xml:space="preserve">el nostro </w:t>
      </w:r>
      <w:r w:rsidRPr="00D877AC">
        <w:rPr>
          <w:rFonts w:ascii="Arial" w:hAnsi="Arial" w:cs="Arial"/>
          <w:iCs/>
          <w:sz w:val="22"/>
          <w:szCs w:val="22"/>
        </w:rPr>
        <w:t>mercato del lavoro</w:t>
      </w:r>
      <w:r w:rsidR="00C917A1">
        <w:rPr>
          <w:rFonts w:ascii="Arial" w:hAnsi="Arial" w:cs="Arial"/>
          <w:iCs/>
          <w:sz w:val="22"/>
          <w:szCs w:val="22"/>
        </w:rPr>
        <w:t>,</w:t>
      </w:r>
      <w:r w:rsidRPr="00D877AC">
        <w:rPr>
          <w:rFonts w:ascii="Arial" w:hAnsi="Arial" w:cs="Arial"/>
          <w:iCs/>
          <w:sz w:val="22"/>
          <w:szCs w:val="22"/>
        </w:rPr>
        <w:t xml:space="preserve"> </w:t>
      </w:r>
      <w:r w:rsidR="004E2314">
        <w:rPr>
          <w:rFonts w:ascii="Arial" w:hAnsi="Arial" w:cs="Arial"/>
          <w:iCs/>
          <w:sz w:val="22"/>
          <w:szCs w:val="22"/>
        </w:rPr>
        <w:t>soprattutto per i giovani e le donn</w:t>
      </w:r>
      <w:r w:rsidRPr="00D877AC">
        <w:rPr>
          <w:rFonts w:ascii="Arial" w:hAnsi="Arial" w:cs="Arial"/>
          <w:iCs/>
          <w:sz w:val="22"/>
          <w:szCs w:val="22"/>
        </w:rPr>
        <w:t>e</w:t>
      </w:r>
      <w:r w:rsidR="005C6873">
        <w:rPr>
          <w:rFonts w:ascii="Arial" w:hAnsi="Arial" w:cs="Arial"/>
          <w:iCs/>
          <w:sz w:val="22"/>
          <w:szCs w:val="22"/>
        </w:rPr>
        <w:t xml:space="preserve"> e</w:t>
      </w:r>
      <w:r w:rsidRPr="00D877AC">
        <w:rPr>
          <w:rFonts w:ascii="Arial" w:hAnsi="Arial" w:cs="Arial"/>
          <w:iCs/>
          <w:sz w:val="22"/>
          <w:szCs w:val="22"/>
        </w:rPr>
        <w:t xml:space="preserve">, </w:t>
      </w:r>
      <w:r w:rsidR="005C6873">
        <w:rPr>
          <w:rFonts w:ascii="Arial" w:hAnsi="Arial" w:cs="Arial"/>
          <w:iCs/>
          <w:sz w:val="22"/>
          <w:szCs w:val="22"/>
        </w:rPr>
        <w:t>presumibilmente</w:t>
      </w:r>
      <w:r w:rsidRPr="00D877AC">
        <w:rPr>
          <w:rFonts w:ascii="Arial" w:hAnsi="Arial" w:cs="Arial"/>
          <w:iCs/>
          <w:sz w:val="22"/>
          <w:szCs w:val="22"/>
        </w:rPr>
        <w:t xml:space="preserve">, </w:t>
      </w:r>
      <w:r w:rsidR="00E62DCE">
        <w:rPr>
          <w:rFonts w:ascii="Arial" w:hAnsi="Arial" w:cs="Arial"/>
          <w:iCs/>
          <w:sz w:val="22"/>
          <w:szCs w:val="22"/>
        </w:rPr>
        <w:t xml:space="preserve">anche </w:t>
      </w:r>
      <w:r w:rsidR="00BE4973">
        <w:rPr>
          <w:rFonts w:ascii="Arial" w:hAnsi="Arial" w:cs="Arial"/>
          <w:iCs/>
          <w:sz w:val="22"/>
          <w:szCs w:val="22"/>
        </w:rPr>
        <w:t>al mutato atteggiamento</w:t>
      </w:r>
      <w:r w:rsidRPr="00D877AC">
        <w:rPr>
          <w:rFonts w:ascii="Arial" w:hAnsi="Arial" w:cs="Arial"/>
          <w:iCs/>
          <w:sz w:val="22"/>
          <w:szCs w:val="22"/>
        </w:rPr>
        <w:t xml:space="preserve"> </w:t>
      </w:r>
      <w:r w:rsidR="004E2314">
        <w:rPr>
          <w:rFonts w:ascii="Arial" w:hAnsi="Arial" w:cs="Arial"/>
          <w:iCs/>
          <w:sz w:val="22"/>
          <w:szCs w:val="22"/>
        </w:rPr>
        <w:t xml:space="preserve">nei confronti del vivere in un altro Paese </w:t>
      </w:r>
      <w:r w:rsidR="000868DA">
        <w:rPr>
          <w:rFonts w:ascii="Arial" w:hAnsi="Arial" w:cs="Arial"/>
          <w:iCs/>
          <w:sz w:val="22"/>
          <w:szCs w:val="22"/>
        </w:rPr>
        <w:t xml:space="preserve">- </w:t>
      </w:r>
      <w:r w:rsidR="004E2314">
        <w:rPr>
          <w:rFonts w:ascii="Arial" w:hAnsi="Arial" w:cs="Arial"/>
          <w:iCs/>
          <w:sz w:val="22"/>
          <w:szCs w:val="22"/>
        </w:rPr>
        <w:t>proprio delle generazioni nate e cresciute in epoca di globalizzazione</w:t>
      </w:r>
      <w:r w:rsidR="000868DA">
        <w:rPr>
          <w:rFonts w:ascii="Arial" w:hAnsi="Arial" w:cs="Arial"/>
          <w:iCs/>
          <w:sz w:val="22"/>
          <w:szCs w:val="22"/>
        </w:rPr>
        <w:t>-</w:t>
      </w:r>
      <w:r w:rsidRPr="00D877AC">
        <w:rPr>
          <w:rFonts w:ascii="Arial" w:hAnsi="Arial" w:cs="Arial"/>
          <w:iCs/>
          <w:sz w:val="22"/>
          <w:szCs w:val="22"/>
        </w:rPr>
        <w:t xml:space="preserve"> che induce i giovani più qualificati a investire </w:t>
      </w:r>
      <w:r w:rsidR="000613D2">
        <w:rPr>
          <w:rFonts w:ascii="Arial" w:hAnsi="Arial" w:cs="Arial"/>
          <w:iCs/>
          <w:sz w:val="22"/>
          <w:szCs w:val="22"/>
        </w:rPr>
        <w:t xml:space="preserve">con maggior facilità </w:t>
      </w:r>
      <w:r w:rsidRPr="00D877AC">
        <w:rPr>
          <w:rFonts w:ascii="Arial" w:hAnsi="Arial" w:cs="Arial"/>
          <w:iCs/>
          <w:sz w:val="22"/>
          <w:szCs w:val="22"/>
        </w:rPr>
        <w:t xml:space="preserve">il proprio talento nei </w:t>
      </w:r>
      <w:r w:rsidR="000C2FC4">
        <w:rPr>
          <w:rFonts w:ascii="Arial" w:hAnsi="Arial" w:cs="Arial"/>
          <w:iCs/>
          <w:sz w:val="22"/>
          <w:szCs w:val="22"/>
        </w:rPr>
        <w:t>p</w:t>
      </w:r>
      <w:r w:rsidRPr="00D877AC">
        <w:rPr>
          <w:rFonts w:ascii="Arial" w:hAnsi="Arial" w:cs="Arial"/>
          <w:iCs/>
          <w:sz w:val="22"/>
          <w:szCs w:val="22"/>
        </w:rPr>
        <w:t>aesi esteri in cui sono maggiori le opportunità di carriera e di retribuzione</w:t>
      </w:r>
      <w:r w:rsidR="00EA60AC" w:rsidRPr="00B26B9F">
        <w:rPr>
          <w:rStyle w:val="Rimandonotadichiusura"/>
          <w:rFonts w:ascii="Arial" w:hAnsi="Arial" w:cs="Arial"/>
          <w:iCs/>
          <w:sz w:val="22"/>
          <w:szCs w:val="22"/>
        </w:rPr>
        <w:endnoteReference w:id="2"/>
      </w:r>
      <w:r w:rsidR="00B26B9F">
        <w:rPr>
          <w:rFonts w:ascii="Arial" w:hAnsi="Arial" w:cs="Arial"/>
          <w:iCs/>
          <w:sz w:val="22"/>
          <w:szCs w:val="22"/>
        </w:rPr>
        <w:t xml:space="preserve">. </w:t>
      </w:r>
      <w:r w:rsidR="000C5F6E">
        <w:rPr>
          <w:rFonts w:ascii="Arial" w:hAnsi="Arial" w:cs="Arial"/>
          <w:iCs/>
          <w:sz w:val="22"/>
          <w:szCs w:val="22"/>
        </w:rPr>
        <w:t>I programmi specifici di defiscalizzazione</w:t>
      </w:r>
      <w:r w:rsidR="00E11D0D">
        <w:rPr>
          <w:rFonts w:ascii="Arial" w:hAnsi="Arial" w:cs="Arial"/>
          <w:iCs/>
          <w:sz w:val="22"/>
          <w:szCs w:val="22"/>
        </w:rPr>
        <w:t>,</w:t>
      </w:r>
      <w:r w:rsidR="000C5F6E">
        <w:rPr>
          <w:rFonts w:ascii="Arial" w:hAnsi="Arial" w:cs="Arial"/>
          <w:iCs/>
          <w:sz w:val="22"/>
          <w:szCs w:val="22"/>
        </w:rPr>
        <w:t xml:space="preserve"> messi in atto da</w:t>
      </w:r>
      <w:r w:rsidR="00E11D0D">
        <w:rPr>
          <w:rFonts w:ascii="Arial" w:hAnsi="Arial" w:cs="Arial"/>
          <w:iCs/>
          <w:sz w:val="22"/>
          <w:szCs w:val="22"/>
        </w:rPr>
        <w:t>i governi</w:t>
      </w:r>
      <w:r w:rsidR="000C5F6E">
        <w:rPr>
          <w:rFonts w:ascii="Arial" w:hAnsi="Arial" w:cs="Arial"/>
          <w:iCs/>
          <w:sz w:val="22"/>
          <w:szCs w:val="22"/>
        </w:rPr>
        <w:t xml:space="preserve"> per favorire il rientro in patria delle figure </w:t>
      </w:r>
      <w:r w:rsidR="003C29D0">
        <w:rPr>
          <w:rFonts w:ascii="Arial" w:hAnsi="Arial" w:cs="Arial"/>
          <w:iCs/>
          <w:sz w:val="22"/>
          <w:szCs w:val="22"/>
        </w:rPr>
        <w:t xml:space="preserve">professionali più qualificate, </w:t>
      </w:r>
      <w:r w:rsidR="00E11D0D">
        <w:rPr>
          <w:rFonts w:ascii="Arial" w:hAnsi="Arial" w:cs="Arial"/>
          <w:iCs/>
          <w:sz w:val="22"/>
          <w:szCs w:val="22"/>
        </w:rPr>
        <w:t xml:space="preserve">non si rivelano </w:t>
      </w:r>
      <w:r w:rsidR="000B2DE4">
        <w:rPr>
          <w:rFonts w:ascii="Arial" w:hAnsi="Arial" w:cs="Arial"/>
          <w:iCs/>
          <w:sz w:val="22"/>
          <w:szCs w:val="22"/>
        </w:rPr>
        <w:t xml:space="preserve">quindi del tutto </w:t>
      </w:r>
      <w:r w:rsidR="00E11D0D">
        <w:rPr>
          <w:rFonts w:ascii="Arial" w:hAnsi="Arial" w:cs="Arial"/>
          <w:iCs/>
          <w:sz w:val="22"/>
          <w:szCs w:val="22"/>
        </w:rPr>
        <w:t xml:space="preserve">sufficienti a trattenere le giovani risorse che costituiscono </w:t>
      </w:r>
      <w:r w:rsidR="00263004">
        <w:rPr>
          <w:rFonts w:ascii="Arial" w:hAnsi="Arial" w:cs="Arial"/>
          <w:iCs/>
          <w:sz w:val="22"/>
          <w:szCs w:val="22"/>
        </w:rPr>
        <w:t>parte del</w:t>
      </w:r>
      <w:r w:rsidR="00E11D0D">
        <w:rPr>
          <w:rFonts w:ascii="Arial" w:hAnsi="Arial" w:cs="Arial"/>
          <w:iCs/>
          <w:sz w:val="22"/>
          <w:szCs w:val="22"/>
        </w:rPr>
        <w:t xml:space="preserve"> capitale umano indispensabile alla crescita del Paese.</w:t>
      </w:r>
    </w:p>
    <w:p w14:paraId="2CD57780" w14:textId="77777777" w:rsidR="0033393A" w:rsidRDefault="0033393A" w:rsidP="00BF4A87">
      <w:pPr>
        <w:jc w:val="both"/>
        <w:rPr>
          <w:rFonts w:ascii="Arial" w:hAnsi="Arial" w:cs="Arial"/>
          <w:sz w:val="22"/>
          <w:szCs w:val="22"/>
          <w:highlight w:val="yellow"/>
        </w:rPr>
      </w:pPr>
    </w:p>
    <w:p w14:paraId="46FE2DA3" w14:textId="77777777" w:rsidR="0024501A" w:rsidRDefault="0024501A" w:rsidP="00BF4A87">
      <w:pPr>
        <w:jc w:val="both"/>
        <w:rPr>
          <w:rFonts w:ascii="Arial" w:hAnsi="Arial" w:cs="Arial"/>
          <w:sz w:val="22"/>
          <w:szCs w:val="22"/>
          <w:highlight w:val="yellow"/>
        </w:rPr>
      </w:pPr>
    </w:p>
    <w:p w14:paraId="20299AF6" w14:textId="6D0AFBC7" w:rsidR="00487101" w:rsidRDefault="0058702E" w:rsidP="00487101">
      <w:pPr>
        <w:autoSpaceDE w:val="0"/>
        <w:autoSpaceDN w:val="0"/>
        <w:adjustRightInd w:val="0"/>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9A3C23">
        <w:rPr>
          <w:rFonts w:ascii="Arial Black" w:hAnsi="Arial Black" w:cs="Arial"/>
          <w:iCs/>
          <w:noProof/>
          <w:color w:val="1F497D" w:themeColor="text2"/>
          <w:sz w:val="22"/>
          <w:szCs w:val="22"/>
        </w:rPr>
        <w:t>2</w:t>
      </w:r>
      <w:r w:rsidRPr="00E80B57">
        <w:rPr>
          <w:rFonts w:ascii="Arial Black" w:hAnsi="Arial Black" w:cs="Arial"/>
          <w:iCs/>
          <w:noProof/>
          <w:color w:val="1F497D" w:themeColor="text2"/>
          <w:sz w:val="22"/>
          <w:szCs w:val="22"/>
        </w:rPr>
        <w:t>.</w:t>
      </w:r>
      <w:r w:rsidR="009D48FF">
        <w:rPr>
          <w:rFonts w:ascii="Arial Narrow" w:hAnsi="Arial Narrow" w:cs="Arial"/>
          <w:b/>
          <w:iCs/>
          <w:noProof/>
          <w:color w:val="1F497D" w:themeColor="text2"/>
          <w:sz w:val="22"/>
          <w:szCs w:val="22"/>
        </w:rPr>
        <w:t xml:space="preserve"> EMIGRAZIONI DI ITALIANI DI 25 ANNI E PIU’ </w:t>
      </w:r>
      <w:r w:rsidR="000D35FE">
        <w:rPr>
          <w:rFonts w:ascii="Arial Narrow" w:hAnsi="Arial Narrow" w:cs="Arial"/>
          <w:b/>
          <w:iCs/>
          <w:noProof/>
          <w:color w:val="1F497D" w:themeColor="text2"/>
          <w:sz w:val="22"/>
          <w:szCs w:val="22"/>
        </w:rPr>
        <w:t xml:space="preserve">E </w:t>
      </w:r>
      <w:r w:rsidR="00B7647F">
        <w:rPr>
          <w:rFonts w:ascii="Arial Narrow" w:hAnsi="Arial Narrow" w:cs="Arial"/>
          <w:b/>
          <w:iCs/>
          <w:noProof/>
          <w:color w:val="1F497D" w:themeColor="text2"/>
          <w:sz w:val="22"/>
          <w:szCs w:val="22"/>
        </w:rPr>
        <w:t>INCIDENZA</w:t>
      </w:r>
      <w:r w:rsidR="006150F2">
        <w:rPr>
          <w:rFonts w:ascii="Arial Narrow" w:hAnsi="Arial Narrow" w:cs="Arial"/>
          <w:b/>
          <w:iCs/>
          <w:noProof/>
          <w:color w:val="1F497D" w:themeColor="text2"/>
          <w:sz w:val="22"/>
          <w:szCs w:val="22"/>
        </w:rPr>
        <w:t xml:space="preserve"> </w:t>
      </w:r>
      <w:r w:rsidR="002B4D0D">
        <w:rPr>
          <w:rFonts w:ascii="Arial Narrow" w:hAnsi="Arial Narrow" w:cs="Arial"/>
          <w:b/>
          <w:iCs/>
          <w:noProof/>
          <w:color w:val="1F497D" w:themeColor="text2"/>
          <w:sz w:val="22"/>
          <w:szCs w:val="22"/>
        </w:rPr>
        <w:t xml:space="preserve">DI </w:t>
      </w:r>
      <w:r w:rsidR="006150F2">
        <w:rPr>
          <w:rFonts w:ascii="Arial Narrow" w:hAnsi="Arial Narrow" w:cs="Arial"/>
          <w:b/>
          <w:iCs/>
          <w:noProof/>
          <w:color w:val="1F497D" w:themeColor="text2"/>
          <w:sz w:val="22"/>
          <w:szCs w:val="22"/>
        </w:rPr>
        <w:t>LAUREATI</w:t>
      </w:r>
      <w:r w:rsidR="001304A9">
        <w:rPr>
          <w:rFonts w:ascii="Arial Narrow" w:hAnsi="Arial Narrow" w:cs="Arial"/>
          <w:b/>
          <w:iCs/>
          <w:noProof/>
          <w:color w:val="1F497D" w:themeColor="text2"/>
          <w:sz w:val="22"/>
          <w:szCs w:val="22"/>
        </w:rPr>
        <w:t xml:space="preserve">, PER </w:t>
      </w:r>
      <w:r w:rsidR="009A3C23">
        <w:rPr>
          <w:rFonts w:ascii="Arial Narrow" w:hAnsi="Arial Narrow" w:cs="Arial"/>
          <w:b/>
          <w:iCs/>
          <w:noProof/>
          <w:color w:val="1F497D" w:themeColor="text2"/>
          <w:sz w:val="22"/>
          <w:szCs w:val="22"/>
        </w:rPr>
        <w:t xml:space="preserve">GENERE </w:t>
      </w:r>
    </w:p>
    <w:p w14:paraId="772A938D" w14:textId="57AE3982" w:rsidR="00487101" w:rsidRDefault="00487101" w:rsidP="00487101">
      <w:pPr>
        <w:autoSpaceDE w:val="0"/>
        <w:autoSpaceDN w:val="0"/>
        <w:adjustRightInd w:val="0"/>
        <w:rPr>
          <w:rFonts w:ascii="Arial Narrow" w:hAnsi="Arial Narrow" w:cs="Arial"/>
          <w:iCs/>
          <w:noProof/>
          <w:color w:val="1F497D" w:themeColor="text2"/>
          <w:sz w:val="22"/>
          <w:szCs w:val="22"/>
        </w:rPr>
      </w:pPr>
      <w:r w:rsidRPr="0012394C">
        <w:rPr>
          <w:rFonts w:ascii="Arial Narrow" w:hAnsi="Arial Narrow" w:cs="Arial"/>
          <w:iCs/>
          <w:noProof/>
          <w:color w:val="1F497D" w:themeColor="text2"/>
          <w:sz w:val="22"/>
          <w:szCs w:val="22"/>
        </w:rPr>
        <w:t>Ann</w:t>
      </w:r>
      <w:r>
        <w:rPr>
          <w:rFonts w:ascii="Arial Narrow" w:hAnsi="Arial Narrow" w:cs="Arial"/>
          <w:iCs/>
          <w:noProof/>
          <w:color w:val="1F497D" w:themeColor="text2"/>
          <w:sz w:val="22"/>
          <w:szCs w:val="22"/>
        </w:rPr>
        <w:t>i</w:t>
      </w:r>
      <w:r w:rsidRPr="0012394C">
        <w:rPr>
          <w:rFonts w:ascii="Arial Narrow" w:hAnsi="Arial Narrow" w:cs="Arial"/>
          <w:iCs/>
          <w:noProof/>
          <w:color w:val="1F497D" w:themeColor="text2"/>
          <w:sz w:val="22"/>
          <w:szCs w:val="22"/>
        </w:rPr>
        <w:t xml:space="preserve"> </w:t>
      </w:r>
      <w:r>
        <w:rPr>
          <w:rFonts w:ascii="Arial Narrow" w:hAnsi="Arial Narrow" w:cs="Arial"/>
          <w:iCs/>
          <w:noProof/>
          <w:color w:val="1F497D" w:themeColor="text2"/>
          <w:sz w:val="22"/>
          <w:szCs w:val="22"/>
        </w:rPr>
        <w:t>200</w:t>
      </w:r>
      <w:r w:rsidR="008F0FC9">
        <w:rPr>
          <w:rFonts w:ascii="Arial Narrow" w:hAnsi="Arial Narrow" w:cs="Arial"/>
          <w:iCs/>
          <w:noProof/>
          <w:color w:val="1F497D" w:themeColor="text2"/>
          <w:sz w:val="22"/>
          <w:szCs w:val="22"/>
        </w:rPr>
        <w:t>9</w:t>
      </w:r>
      <w:r>
        <w:rPr>
          <w:rFonts w:ascii="Arial Narrow" w:hAnsi="Arial Narrow" w:cs="Arial"/>
          <w:iCs/>
          <w:noProof/>
          <w:color w:val="1F497D" w:themeColor="text2"/>
          <w:sz w:val="22"/>
          <w:szCs w:val="22"/>
        </w:rPr>
        <w:t xml:space="preserve">-2018, valori </w:t>
      </w:r>
      <w:r w:rsidR="008F0FC9">
        <w:rPr>
          <w:rFonts w:ascii="Arial Narrow" w:hAnsi="Arial Narrow" w:cs="Arial"/>
          <w:iCs/>
          <w:noProof/>
          <w:color w:val="1F497D" w:themeColor="text2"/>
          <w:sz w:val="22"/>
          <w:szCs w:val="22"/>
        </w:rPr>
        <w:t>assoluti in migliaia</w:t>
      </w:r>
      <w:r w:rsidR="000D35FE">
        <w:rPr>
          <w:rFonts w:ascii="Arial Narrow" w:hAnsi="Arial Narrow" w:cs="Arial"/>
          <w:iCs/>
          <w:noProof/>
          <w:color w:val="1F497D" w:themeColor="text2"/>
          <w:sz w:val="22"/>
          <w:szCs w:val="22"/>
        </w:rPr>
        <w:t xml:space="preserve"> </w:t>
      </w:r>
      <w:r w:rsidR="004C2C89">
        <w:rPr>
          <w:rFonts w:ascii="Arial Narrow" w:hAnsi="Arial Narrow" w:cs="Arial"/>
          <w:iCs/>
          <w:noProof/>
          <w:color w:val="1F497D" w:themeColor="text2"/>
          <w:sz w:val="22"/>
          <w:szCs w:val="22"/>
        </w:rPr>
        <w:t xml:space="preserve">(asse sinistro) </w:t>
      </w:r>
      <w:r w:rsidR="000D35FE">
        <w:rPr>
          <w:rFonts w:ascii="Arial Narrow" w:hAnsi="Arial Narrow" w:cs="Arial"/>
          <w:iCs/>
          <w:noProof/>
          <w:color w:val="1F497D" w:themeColor="text2"/>
          <w:sz w:val="22"/>
          <w:szCs w:val="22"/>
        </w:rPr>
        <w:t>e valori percentuali</w:t>
      </w:r>
      <w:r w:rsidR="004C2C89">
        <w:rPr>
          <w:rFonts w:ascii="Arial Narrow" w:hAnsi="Arial Narrow" w:cs="Arial"/>
          <w:iCs/>
          <w:noProof/>
          <w:color w:val="1F497D" w:themeColor="text2"/>
          <w:sz w:val="22"/>
          <w:szCs w:val="22"/>
        </w:rPr>
        <w:t xml:space="preserve"> (asse destro)</w:t>
      </w:r>
    </w:p>
    <w:p w14:paraId="5EB6397E" w14:textId="77777777" w:rsidR="004C2C89" w:rsidRPr="001C29D4" w:rsidRDefault="004C2C89" w:rsidP="00487101">
      <w:pPr>
        <w:autoSpaceDE w:val="0"/>
        <w:autoSpaceDN w:val="0"/>
        <w:adjustRightInd w:val="0"/>
        <w:rPr>
          <w:rFonts w:ascii="Arial Narrow" w:hAnsi="Arial Narrow" w:cs="Arial"/>
          <w:b/>
          <w:iCs/>
          <w:noProof/>
          <w:color w:val="1F497D" w:themeColor="text2"/>
          <w:sz w:val="10"/>
          <w:szCs w:val="22"/>
        </w:rPr>
      </w:pPr>
    </w:p>
    <w:p w14:paraId="376B6D4D" w14:textId="77777777" w:rsidR="001F4CD6" w:rsidRDefault="000D35FE" w:rsidP="00F66509">
      <w:pPr>
        <w:spacing w:after="200"/>
        <w:jc w:val="both"/>
        <w:outlineLvl w:val="0"/>
        <w:rPr>
          <w:rFonts w:ascii="Arial" w:hAnsi="Arial" w:cs="Arial"/>
          <w:b/>
          <w:iCs/>
          <w:color w:val="1F497D" w:themeColor="text2"/>
          <w:sz w:val="26"/>
          <w:szCs w:val="26"/>
        </w:rPr>
      </w:pPr>
      <w:r>
        <w:rPr>
          <w:noProof/>
        </w:rPr>
        <w:drawing>
          <wp:inline distT="0" distB="0" distL="0" distR="0" wp14:anchorId="21BF110E" wp14:editId="77E98420">
            <wp:extent cx="6286500" cy="2324100"/>
            <wp:effectExtent l="0" t="0" r="0" b="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7EAEE5" w14:textId="77777777" w:rsidR="003A4FD5" w:rsidRDefault="003A4FD5" w:rsidP="00F66509">
      <w:pPr>
        <w:spacing w:after="200"/>
        <w:jc w:val="both"/>
        <w:outlineLvl w:val="0"/>
        <w:rPr>
          <w:rFonts w:ascii="Arial" w:hAnsi="Arial" w:cs="Arial"/>
          <w:b/>
          <w:iCs/>
          <w:color w:val="1F497D" w:themeColor="text2"/>
          <w:sz w:val="26"/>
          <w:szCs w:val="26"/>
        </w:rPr>
      </w:pPr>
    </w:p>
    <w:p w14:paraId="2F4CFE29" w14:textId="77777777" w:rsidR="00F66509" w:rsidRPr="00F66509" w:rsidRDefault="00B86630" w:rsidP="00F66509">
      <w:pPr>
        <w:spacing w:after="200"/>
        <w:jc w:val="both"/>
        <w:outlineLvl w:val="0"/>
        <w:rPr>
          <w:rFonts w:ascii="Arial" w:hAnsi="Arial" w:cs="Arial"/>
          <w:b/>
          <w:iCs/>
          <w:color w:val="1F497D" w:themeColor="text2"/>
          <w:sz w:val="26"/>
          <w:szCs w:val="26"/>
        </w:rPr>
      </w:pPr>
      <w:r>
        <w:rPr>
          <w:rFonts w:ascii="Arial" w:hAnsi="Arial" w:cs="Arial"/>
          <w:b/>
          <w:iCs/>
          <w:color w:val="1F497D" w:themeColor="text2"/>
          <w:sz w:val="26"/>
          <w:szCs w:val="26"/>
        </w:rPr>
        <w:t>In calo le iscrizioni anagrafiche dall’estero</w:t>
      </w:r>
    </w:p>
    <w:p w14:paraId="37BF46E8" w14:textId="11ECA8BF" w:rsidR="008E3E5C" w:rsidRDefault="00547157" w:rsidP="00F66509">
      <w:pPr>
        <w:spacing w:after="120"/>
        <w:jc w:val="both"/>
        <w:outlineLvl w:val="0"/>
        <w:rPr>
          <w:rFonts w:ascii="Arial" w:hAnsi="Arial" w:cs="Arial"/>
          <w:iCs/>
          <w:sz w:val="22"/>
          <w:szCs w:val="22"/>
        </w:rPr>
      </w:pPr>
      <w:r w:rsidRPr="00F66509">
        <w:rPr>
          <w:rFonts w:ascii="Arial" w:hAnsi="Arial" w:cs="Arial"/>
          <w:iCs/>
          <w:sz w:val="22"/>
          <w:szCs w:val="22"/>
        </w:rPr>
        <w:t>Le iscrizioni anagrafiche dall’estero registrate nel corso del 201</w:t>
      </w:r>
      <w:r>
        <w:rPr>
          <w:rFonts w:ascii="Arial" w:hAnsi="Arial" w:cs="Arial"/>
          <w:iCs/>
          <w:sz w:val="22"/>
          <w:szCs w:val="22"/>
        </w:rPr>
        <w:t>8</w:t>
      </w:r>
      <w:r w:rsidRPr="00F66509">
        <w:rPr>
          <w:rFonts w:ascii="Arial" w:hAnsi="Arial" w:cs="Arial"/>
          <w:iCs/>
          <w:sz w:val="22"/>
          <w:szCs w:val="22"/>
        </w:rPr>
        <w:t xml:space="preserve"> ammontan</w:t>
      </w:r>
      <w:r>
        <w:rPr>
          <w:rFonts w:ascii="Arial" w:hAnsi="Arial" w:cs="Arial"/>
          <w:iCs/>
          <w:sz w:val="22"/>
          <w:szCs w:val="22"/>
        </w:rPr>
        <w:t>o a 332</w:t>
      </w:r>
      <w:r w:rsidRPr="00F66509">
        <w:rPr>
          <w:rFonts w:ascii="Arial" w:hAnsi="Arial" w:cs="Arial"/>
          <w:iCs/>
          <w:sz w:val="22"/>
          <w:szCs w:val="22"/>
        </w:rPr>
        <w:t>.</w:t>
      </w:r>
      <w:r>
        <w:rPr>
          <w:rFonts w:ascii="Arial" w:hAnsi="Arial" w:cs="Arial"/>
          <w:iCs/>
          <w:sz w:val="22"/>
          <w:szCs w:val="22"/>
        </w:rPr>
        <w:t>324</w:t>
      </w:r>
      <w:r w:rsidRPr="00F66509">
        <w:rPr>
          <w:rFonts w:ascii="Arial" w:hAnsi="Arial" w:cs="Arial"/>
          <w:iCs/>
          <w:sz w:val="22"/>
          <w:szCs w:val="22"/>
        </w:rPr>
        <w:t xml:space="preserve">, in </w:t>
      </w:r>
      <w:r>
        <w:rPr>
          <w:rFonts w:ascii="Arial" w:hAnsi="Arial" w:cs="Arial"/>
          <w:iCs/>
          <w:sz w:val="22"/>
          <w:szCs w:val="22"/>
        </w:rPr>
        <w:t xml:space="preserve">calo </w:t>
      </w:r>
      <w:r w:rsidRPr="00F66509">
        <w:rPr>
          <w:rFonts w:ascii="Arial" w:hAnsi="Arial" w:cs="Arial"/>
          <w:iCs/>
          <w:sz w:val="22"/>
          <w:szCs w:val="22"/>
        </w:rPr>
        <w:t xml:space="preserve">del </w:t>
      </w:r>
      <w:r>
        <w:rPr>
          <w:rFonts w:ascii="Arial" w:hAnsi="Arial" w:cs="Arial"/>
          <w:iCs/>
          <w:sz w:val="22"/>
          <w:szCs w:val="22"/>
        </w:rPr>
        <w:t>3</w:t>
      </w:r>
      <w:r w:rsidR="00233276">
        <w:rPr>
          <w:rFonts w:ascii="Arial" w:hAnsi="Arial" w:cs="Arial"/>
          <w:iCs/>
          <w:sz w:val="22"/>
          <w:szCs w:val="22"/>
        </w:rPr>
        <w:t>,2</w:t>
      </w:r>
      <w:r w:rsidRPr="00F66509">
        <w:rPr>
          <w:rFonts w:ascii="Arial" w:hAnsi="Arial" w:cs="Arial"/>
          <w:iCs/>
          <w:sz w:val="22"/>
          <w:szCs w:val="22"/>
        </w:rPr>
        <w:t>% rispetto all’anno precedente; di quest</w:t>
      </w:r>
      <w:r w:rsidR="000D1C88">
        <w:rPr>
          <w:rFonts w:ascii="Arial" w:hAnsi="Arial" w:cs="Arial"/>
          <w:iCs/>
          <w:sz w:val="22"/>
          <w:szCs w:val="22"/>
        </w:rPr>
        <w:t>e</w:t>
      </w:r>
      <w:r w:rsidRPr="00F66509">
        <w:rPr>
          <w:rFonts w:ascii="Arial" w:hAnsi="Arial" w:cs="Arial"/>
          <w:iCs/>
          <w:sz w:val="22"/>
          <w:szCs w:val="22"/>
        </w:rPr>
        <w:t xml:space="preserve">, </w:t>
      </w:r>
      <w:r>
        <w:rPr>
          <w:rFonts w:ascii="Arial" w:hAnsi="Arial" w:cs="Arial"/>
          <w:iCs/>
          <w:sz w:val="22"/>
          <w:szCs w:val="22"/>
        </w:rPr>
        <w:t>28</w:t>
      </w:r>
      <w:r w:rsidR="008A3CC8">
        <w:rPr>
          <w:rFonts w:ascii="Arial" w:hAnsi="Arial" w:cs="Arial"/>
          <w:iCs/>
          <w:sz w:val="22"/>
          <w:szCs w:val="22"/>
        </w:rPr>
        <w:t>6</w:t>
      </w:r>
      <w:r w:rsidRPr="00F66509">
        <w:rPr>
          <w:rFonts w:ascii="Arial" w:hAnsi="Arial" w:cs="Arial"/>
          <w:iCs/>
          <w:sz w:val="22"/>
          <w:szCs w:val="22"/>
        </w:rPr>
        <w:t xml:space="preserve"> mila </w:t>
      </w:r>
      <w:r w:rsidR="000D1C88">
        <w:rPr>
          <w:rFonts w:ascii="Arial" w:hAnsi="Arial" w:cs="Arial"/>
          <w:iCs/>
          <w:sz w:val="22"/>
          <w:szCs w:val="22"/>
        </w:rPr>
        <w:t>riguardano</w:t>
      </w:r>
      <w:r w:rsidRPr="00F66509">
        <w:rPr>
          <w:rFonts w:ascii="Arial" w:hAnsi="Arial" w:cs="Arial"/>
          <w:iCs/>
          <w:sz w:val="22"/>
          <w:szCs w:val="22"/>
        </w:rPr>
        <w:t xml:space="preserve"> cittadini stranieri (</w:t>
      </w:r>
      <w:r w:rsidR="008A3CC8">
        <w:rPr>
          <w:rFonts w:ascii="Arial" w:hAnsi="Arial" w:cs="Arial"/>
          <w:iCs/>
          <w:sz w:val="22"/>
          <w:szCs w:val="22"/>
        </w:rPr>
        <w:t>86</w:t>
      </w:r>
      <w:r w:rsidRPr="00F66509">
        <w:rPr>
          <w:rFonts w:ascii="Arial" w:hAnsi="Arial" w:cs="Arial"/>
          <w:iCs/>
          <w:sz w:val="22"/>
          <w:szCs w:val="22"/>
        </w:rPr>
        <w:t xml:space="preserve">% del totale). </w:t>
      </w:r>
      <w:r w:rsidR="0039320C">
        <w:rPr>
          <w:rFonts w:ascii="Arial" w:hAnsi="Arial" w:cs="Arial"/>
          <w:iCs/>
          <w:sz w:val="22"/>
          <w:szCs w:val="22"/>
        </w:rPr>
        <w:t>A livello nazionale i</w:t>
      </w:r>
      <w:r w:rsidRPr="00F66509">
        <w:rPr>
          <w:rFonts w:ascii="Arial" w:hAnsi="Arial" w:cs="Arial"/>
          <w:iCs/>
          <w:sz w:val="22"/>
          <w:szCs w:val="22"/>
        </w:rPr>
        <w:t xml:space="preserve">l tasso di immigratorietà è pari a </w:t>
      </w:r>
      <w:r w:rsidR="00D90ABF">
        <w:rPr>
          <w:rFonts w:ascii="Arial" w:hAnsi="Arial" w:cs="Arial"/>
          <w:iCs/>
          <w:sz w:val="22"/>
          <w:szCs w:val="22"/>
        </w:rPr>
        <w:t>4,7</w:t>
      </w:r>
      <w:r w:rsidRPr="00F66509">
        <w:rPr>
          <w:rFonts w:ascii="Arial" w:hAnsi="Arial" w:cs="Arial"/>
          <w:iCs/>
          <w:sz w:val="22"/>
          <w:szCs w:val="22"/>
        </w:rPr>
        <w:t xml:space="preserve"> immigrati stranieri </w:t>
      </w:r>
      <w:r w:rsidR="00D90ABF">
        <w:rPr>
          <w:rFonts w:ascii="Arial" w:hAnsi="Arial" w:cs="Arial"/>
          <w:iCs/>
          <w:sz w:val="22"/>
          <w:szCs w:val="22"/>
        </w:rPr>
        <w:t xml:space="preserve">ogni </w:t>
      </w:r>
      <w:r w:rsidR="00E81C75">
        <w:rPr>
          <w:rFonts w:ascii="Arial" w:hAnsi="Arial" w:cs="Arial"/>
          <w:iCs/>
          <w:sz w:val="22"/>
          <w:szCs w:val="22"/>
        </w:rPr>
        <w:t>1.000</w:t>
      </w:r>
      <w:r w:rsidR="00D90ABF">
        <w:rPr>
          <w:rFonts w:ascii="Arial" w:hAnsi="Arial" w:cs="Arial"/>
          <w:iCs/>
          <w:sz w:val="22"/>
          <w:szCs w:val="22"/>
        </w:rPr>
        <w:t xml:space="preserve"> abitanti.</w:t>
      </w:r>
      <w:r w:rsidR="008E3E5C">
        <w:rPr>
          <w:rFonts w:ascii="Arial" w:hAnsi="Arial" w:cs="Arial"/>
          <w:iCs/>
          <w:sz w:val="22"/>
          <w:szCs w:val="22"/>
        </w:rPr>
        <w:t xml:space="preserve"> </w:t>
      </w:r>
    </w:p>
    <w:p w14:paraId="40100E38" w14:textId="4BB1D54C" w:rsidR="00F66509" w:rsidRPr="00F66509" w:rsidRDefault="004A58A8" w:rsidP="00F66509">
      <w:pPr>
        <w:spacing w:after="120"/>
        <w:jc w:val="both"/>
        <w:outlineLvl w:val="0"/>
        <w:rPr>
          <w:rFonts w:ascii="Arial" w:hAnsi="Arial" w:cs="Arial"/>
          <w:iCs/>
          <w:sz w:val="22"/>
          <w:szCs w:val="22"/>
        </w:rPr>
      </w:pPr>
      <w:r>
        <w:rPr>
          <w:rFonts w:ascii="Arial" w:hAnsi="Arial" w:cs="Arial"/>
          <w:sz w:val="22"/>
          <w:szCs w:val="22"/>
        </w:rPr>
        <w:t xml:space="preserve">L’andamento dei flussi migratori in ingresso nell’ultimo decennio per </w:t>
      </w:r>
      <w:r w:rsidR="00E81C75">
        <w:rPr>
          <w:rFonts w:ascii="Arial" w:hAnsi="Arial" w:cs="Arial"/>
          <w:sz w:val="22"/>
          <w:szCs w:val="22"/>
        </w:rPr>
        <w:t>macro-aree</w:t>
      </w:r>
      <w:r>
        <w:rPr>
          <w:rFonts w:ascii="Arial" w:hAnsi="Arial" w:cs="Arial"/>
          <w:sz w:val="22"/>
          <w:szCs w:val="22"/>
        </w:rPr>
        <w:t xml:space="preserve"> di provenienza evidenzia un calo generale delle immigrazioni per tutti i paesi esteri: d</w:t>
      </w:r>
      <w:r w:rsidR="00F66509" w:rsidRPr="00F66509">
        <w:rPr>
          <w:rFonts w:ascii="Arial" w:hAnsi="Arial" w:cs="Arial"/>
          <w:iCs/>
          <w:sz w:val="22"/>
          <w:szCs w:val="22"/>
        </w:rPr>
        <w:t>opo l’incremento dovuto alle regolarizzazioni</w:t>
      </w:r>
      <w:r w:rsidR="008E3E5C">
        <w:rPr>
          <w:rFonts w:ascii="Arial" w:hAnsi="Arial" w:cs="Arial"/>
          <w:iCs/>
          <w:sz w:val="22"/>
          <w:szCs w:val="22"/>
        </w:rPr>
        <w:t xml:space="preserve"> e</w:t>
      </w:r>
      <w:r w:rsidR="00F66509" w:rsidRPr="00F66509">
        <w:rPr>
          <w:rFonts w:ascii="Arial" w:hAnsi="Arial" w:cs="Arial"/>
          <w:iCs/>
          <w:sz w:val="22"/>
          <w:szCs w:val="22"/>
        </w:rPr>
        <w:t xml:space="preserve"> all’</w:t>
      </w:r>
      <w:r w:rsidR="008E3E5C">
        <w:rPr>
          <w:rFonts w:ascii="Arial" w:hAnsi="Arial" w:cs="Arial"/>
          <w:iCs/>
          <w:sz w:val="22"/>
          <w:szCs w:val="22"/>
        </w:rPr>
        <w:t xml:space="preserve">ingresso di Romania e Bulgaria nell’Unione europea </w:t>
      </w:r>
      <w:r w:rsidR="00233276">
        <w:rPr>
          <w:rFonts w:ascii="Arial" w:hAnsi="Arial" w:cs="Arial"/>
          <w:iCs/>
          <w:sz w:val="22"/>
          <w:szCs w:val="22"/>
        </w:rPr>
        <w:t xml:space="preserve">osservato nei </w:t>
      </w:r>
      <w:r w:rsidR="008E3E5C">
        <w:rPr>
          <w:rFonts w:ascii="Arial" w:hAnsi="Arial" w:cs="Arial"/>
          <w:iCs/>
          <w:sz w:val="22"/>
          <w:szCs w:val="22"/>
        </w:rPr>
        <w:t>primi anni Duemila,</w:t>
      </w:r>
      <w:r w:rsidR="008E3E5C" w:rsidRPr="00F66509">
        <w:rPr>
          <w:rFonts w:ascii="Arial" w:hAnsi="Arial" w:cs="Arial"/>
          <w:iCs/>
          <w:sz w:val="22"/>
          <w:szCs w:val="22"/>
        </w:rPr>
        <w:t xml:space="preserve"> </w:t>
      </w:r>
      <w:r w:rsidR="00F66509" w:rsidRPr="00F66509">
        <w:rPr>
          <w:rFonts w:ascii="Arial" w:hAnsi="Arial" w:cs="Arial"/>
          <w:iCs/>
          <w:sz w:val="22"/>
          <w:szCs w:val="22"/>
        </w:rPr>
        <w:t xml:space="preserve">i trasferimenti dall’estero hanno avuto un lento declino. </w:t>
      </w:r>
      <w:r w:rsidR="00D70898">
        <w:rPr>
          <w:rFonts w:ascii="Arial" w:hAnsi="Arial" w:cs="Arial"/>
          <w:iCs/>
          <w:sz w:val="22"/>
          <w:szCs w:val="22"/>
        </w:rPr>
        <w:t>Dal 2015 al 2017</w:t>
      </w:r>
      <w:r w:rsidR="00F66509" w:rsidRPr="00F66509">
        <w:rPr>
          <w:rFonts w:ascii="Arial" w:hAnsi="Arial" w:cs="Arial"/>
          <w:iCs/>
          <w:sz w:val="22"/>
          <w:szCs w:val="22"/>
        </w:rPr>
        <w:t xml:space="preserve"> le immigrazioni </w:t>
      </w:r>
      <w:r w:rsidR="0039320C">
        <w:rPr>
          <w:rFonts w:ascii="Arial" w:hAnsi="Arial" w:cs="Arial"/>
          <w:iCs/>
          <w:sz w:val="22"/>
          <w:szCs w:val="22"/>
        </w:rPr>
        <w:t>sono tornate ad aumentare</w:t>
      </w:r>
      <w:r w:rsidR="00F66509" w:rsidRPr="00F66509">
        <w:rPr>
          <w:rFonts w:ascii="Arial" w:hAnsi="Arial" w:cs="Arial"/>
          <w:iCs/>
          <w:sz w:val="22"/>
          <w:szCs w:val="22"/>
        </w:rPr>
        <w:t xml:space="preserve"> </w:t>
      </w:r>
      <w:r w:rsidR="0039320C">
        <w:rPr>
          <w:rFonts w:ascii="Arial" w:hAnsi="Arial" w:cs="Arial"/>
          <w:iCs/>
          <w:sz w:val="22"/>
          <w:szCs w:val="22"/>
        </w:rPr>
        <w:t>per via dei</w:t>
      </w:r>
      <w:r w:rsidR="00F66509" w:rsidRPr="00F66509">
        <w:rPr>
          <w:rFonts w:ascii="Arial" w:hAnsi="Arial" w:cs="Arial"/>
          <w:iCs/>
          <w:sz w:val="22"/>
          <w:szCs w:val="22"/>
        </w:rPr>
        <w:t xml:space="preserve"> flussi numerosi provenienti dai </w:t>
      </w:r>
      <w:r w:rsidR="000C2FC4">
        <w:rPr>
          <w:rFonts w:ascii="Arial" w:hAnsi="Arial" w:cs="Arial"/>
          <w:iCs/>
          <w:sz w:val="22"/>
          <w:szCs w:val="22"/>
        </w:rPr>
        <w:t>p</w:t>
      </w:r>
      <w:r w:rsidR="00F66509" w:rsidRPr="00F66509">
        <w:rPr>
          <w:rFonts w:ascii="Arial" w:hAnsi="Arial" w:cs="Arial"/>
          <w:iCs/>
          <w:sz w:val="22"/>
          <w:szCs w:val="22"/>
        </w:rPr>
        <w:t xml:space="preserve">aesi che </w:t>
      </w:r>
      <w:r w:rsidR="007E4CD7">
        <w:rPr>
          <w:rFonts w:ascii="Arial" w:hAnsi="Arial" w:cs="Arial"/>
          <w:iCs/>
          <w:sz w:val="22"/>
          <w:szCs w:val="22"/>
        </w:rPr>
        <w:t xml:space="preserve">si affacciano sul Mediterraneo, caratterizzati prevalentemente da </w:t>
      </w:r>
      <w:r w:rsidR="0039320C">
        <w:rPr>
          <w:rFonts w:ascii="Arial" w:hAnsi="Arial" w:cs="Arial"/>
          <w:iCs/>
          <w:sz w:val="22"/>
          <w:szCs w:val="22"/>
        </w:rPr>
        <w:t>cittadini in cerca di accoglienza per asilo e protezione umanitaria</w:t>
      </w:r>
      <w:r w:rsidR="00DB61BB" w:rsidRPr="00C13B12">
        <w:rPr>
          <w:rStyle w:val="Rimandonotadichiusura"/>
          <w:rFonts w:ascii="Arial" w:hAnsi="Arial" w:cs="Arial"/>
          <w:iCs/>
          <w:sz w:val="22"/>
          <w:szCs w:val="22"/>
        </w:rPr>
        <w:endnoteReference w:id="3"/>
      </w:r>
      <w:r w:rsidR="007E4CD7" w:rsidRPr="00C13B12">
        <w:rPr>
          <w:rFonts w:ascii="Arial" w:hAnsi="Arial" w:cs="Arial"/>
          <w:iCs/>
          <w:sz w:val="22"/>
          <w:szCs w:val="22"/>
        </w:rPr>
        <w:t>.</w:t>
      </w:r>
      <w:r w:rsidR="00B7647F">
        <w:rPr>
          <w:rFonts w:ascii="Arial" w:hAnsi="Arial" w:cs="Arial"/>
          <w:iCs/>
          <w:sz w:val="22"/>
          <w:szCs w:val="22"/>
        </w:rPr>
        <w:t xml:space="preserve"> Nel 2018, questi ingressi </w:t>
      </w:r>
      <w:r w:rsidR="00E812AE">
        <w:rPr>
          <w:rFonts w:ascii="Arial" w:hAnsi="Arial" w:cs="Arial"/>
          <w:iCs/>
          <w:sz w:val="22"/>
          <w:szCs w:val="22"/>
        </w:rPr>
        <w:t xml:space="preserve">hanno </w:t>
      </w:r>
      <w:r w:rsidR="00B7647F">
        <w:rPr>
          <w:rFonts w:ascii="Arial" w:hAnsi="Arial" w:cs="Arial"/>
          <w:iCs/>
          <w:sz w:val="22"/>
          <w:szCs w:val="22"/>
        </w:rPr>
        <w:t>subi</w:t>
      </w:r>
      <w:r w:rsidR="00E812AE">
        <w:rPr>
          <w:rFonts w:ascii="Arial" w:hAnsi="Arial" w:cs="Arial"/>
          <w:iCs/>
          <w:sz w:val="22"/>
          <w:szCs w:val="22"/>
        </w:rPr>
        <w:t>to</w:t>
      </w:r>
      <w:r w:rsidR="00B7647F">
        <w:rPr>
          <w:rFonts w:ascii="Arial" w:hAnsi="Arial" w:cs="Arial"/>
          <w:iCs/>
          <w:sz w:val="22"/>
          <w:szCs w:val="22"/>
        </w:rPr>
        <w:t xml:space="preserve"> una battuta d’arresto</w:t>
      </w:r>
      <w:r w:rsidR="00441049">
        <w:rPr>
          <w:rFonts w:ascii="Arial" w:hAnsi="Arial" w:cs="Arial"/>
          <w:iCs/>
          <w:sz w:val="22"/>
          <w:szCs w:val="22"/>
        </w:rPr>
        <w:t xml:space="preserve"> (Figura </w:t>
      </w:r>
      <w:r w:rsidR="009A3C23">
        <w:rPr>
          <w:rFonts w:ascii="Arial" w:hAnsi="Arial" w:cs="Arial"/>
          <w:iCs/>
          <w:sz w:val="22"/>
          <w:szCs w:val="22"/>
        </w:rPr>
        <w:t>3</w:t>
      </w:r>
      <w:r w:rsidR="00441049">
        <w:rPr>
          <w:rFonts w:ascii="Arial" w:hAnsi="Arial" w:cs="Arial"/>
          <w:iCs/>
          <w:sz w:val="22"/>
          <w:szCs w:val="22"/>
        </w:rPr>
        <w:t>)</w:t>
      </w:r>
      <w:r w:rsidR="00B7647F">
        <w:rPr>
          <w:rFonts w:ascii="Arial" w:hAnsi="Arial" w:cs="Arial"/>
          <w:iCs/>
          <w:sz w:val="22"/>
          <w:szCs w:val="22"/>
        </w:rPr>
        <w:t>.</w:t>
      </w:r>
    </w:p>
    <w:p w14:paraId="42FE4F50" w14:textId="49E5D27D" w:rsidR="00AF0397" w:rsidRDefault="00E812AE" w:rsidP="00B7647F">
      <w:pPr>
        <w:spacing w:after="120"/>
        <w:jc w:val="both"/>
        <w:outlineLvl w:val="0"/>
        <w:rPr>
          <w:rFonts w:ascii="Arial" w:hAnsi="Arial" w:cs="Arial"/>
          <w:iCs/>
          <w:sz w:val="22"/>
          <w:szCs w:val="22"/>
        </w:rPr>
      </w:pPr>
      <w:r>
        <w:rPr>
          <w:rFonts w:ascii="Arial" w:hAnsi="Arial" w:cs="Arial"/>
          <w:iCs/>
          <w:sz w:val="22"/>
          <w:szCs w:val="22"/>
        </w:rPr>
        <w:t>N</w:t>
      </w:r>
      <w:r w:rsidR="00B7647F">
        <w:rPr>
          <w:rFonts w:ascii="Arial" w:hAnsi="Arial" w:cs="Arial"/>
          <w:iCs/>
          <w:sz w:val="22"/>
          <w:szCs w:val="22"/>
        </w:rPr>
        <w:t>el 2018</w:t>
      </w:r>
      <w:r w:rsidR="0059367E">
        <w:rPr>
          <w:rFonts w:ascii="Arial" w:hAnsi="Arial" w:cs="Arial"/>
          <w:iCs/>
          <w:sz w:val="22"/>
          <w:szCs w:val="22"/>
        </w:rPr>
        <w:t xml:space="preserve"> le iscrizioni anagrafiche dall’estero più numerose provengono, in valore assoluto,</w:t>
      </w:r>
      <w:r w:rsidR="00AD47A9">
        <w:rPr>
          <w:rFonts w:ascii="Arial" w:hAnsi="Arial" w:cs="Arial"/>
          <w:iCs/>
          <w:sz w:val="22"/>
          <w:szCs w:val="22"/>
        </w:rPr>
        <w:t xml:space="preserve"> da</w:t>
      </w:r>
      <w:r w:rsidR="006D3A3E">
        <w:rPr>
          <w:rFonts w:ascii="Arial" w:hAnsi="Arial" w:cs="Arial"/>
          <w:iCs/>
          <w:sz w:val="22"/>
          <w:szCs w:val="22"/>
        </w:rPr>
        <w:t xml:space="preserve"> </w:t>
      </w:r>
      <w:r w:rsidR="000C2FC4">
        <w:rPr>
          <w:rFonts w:ascii="Arial" w:hAnsi="Arial" w:cs="Arial"/>
          <w:iCs/>
          <w:sz w:val="22"/>
          <w:szCs w:val="22"/>
        </w:rPr>
        <w:t>p</w:t>
      </w:r>
      <w:r w:rsidR="00AD47A9">
        <w:rPr>
          <w:rFonts w:ascii="Arial" w:hAnsi="Arial" w:cs="Arial"/>
          <w:iCs/>
          <w:sz w:val="22"/>
          <w:szCs w:val="22"/>
        </w:rPr>
        <w:t xml:space="preserve">aesi europei: </w:t>
      </w:r>
      <w:r w:rsidR="0059367E">
        <w:rPr>
          <w:rFonts w:ascii="Arial" w:hAnsi="Arial" w:cs="Arial"/>
          <w:iCs/>
          <w:sz w:val="22"/>
          <w:szCs w:val="22"/>
        </w:rPr>
        <w:t xml:space="preserve">la Romania </w:t>
      </w:r>
      <w:r w:rsidR="00AD47A9">
        <w:rPr>
          <w:rFonts w:ascii="Arial" w:hAnsi="Arial" w:cs="Arial"/>
          <w:iCs/>
          <w:sz w:val="22"/>
          <w:szCs w:val="22"/>
        </w:rPr>
        <w:t xml:space="preserve">con </w:t>
      </w:r>
      <w:r w:rsidR="0059367E">
        <w:rPr>
          <w:rFonts w:ascii="Arial" w:hAnsi="Arial" w:cs="Arial"/>
          <w:iCs/>
          <w:sz w:val="22"/>
          <w:szCs w:val="22"/>
        </w:rPr>
        <w:t>37 mila</w:t>
      </w:r>
      <w:r w:rsidR="00AD47A9">
        <w:rPr>
          <w:rFonts w:ascii="Arial" w:hAnsi="Arial" w:cs="Arial"/>
          <w:iCs/>
          <w:sz w:val="22"/>
          <w:szCs w:val="22"/>
        </w:rPr>
        <w:t xml:space="preserve"> ingressi (</w:t>
      </w:r>
      <w:r w:rsidR="0059367E">
        <w:rPr>
          <w:rFonts w:ascii="Arial" w:hAnsi="Arial" w:cs="Arial"/>
          <w:iCs/>
          <w:sz w:val="22"/>
          <w:szCs w:val="22"/>
        </w:rPr>
        <w:t>11% del totale)</w:t>
      </w:r>
      <w:r w:rsidR="00AD47A9">
        <w:rPr>
          <w:rFonts w:ascii="Arial" w:hAnsi="Arial" w:cs="Arial"/>
          <w:iCs/>
          <w:sz w:val="22"/>
          <w:szCs w:val="22"/>
        </w:rPr>
        <w:t xml:space="preserve"> si conferma il principale paese di origine seppur in deciso </w:t>
      </w:r>
      <w:r w:rsidR="0059367E">
        <w:rPr>
          <w:rFonts w:ascii="Arial" w:hAnsi="Arial" w:cs="Arial"/>
          <w:iCs/>
          <w:sz w:val="22"/>
          <w:szCs w:val="22"/>
        </w:rPr>
        <w:t xml:space="preserve">calo </w:t>
      </w:r>
      <w:r w:rsidR="00AD47A9">
        <w:rPr>
          <w:rFonts w:ascii="Arial" w:hAnsi="Arial" w:cs="Arial"/>
          <w:iCs/>
          <w:sz w:val="22"/>
          <w:szCs w:val="22"/>
        </w:rPr>
        <w:t>(-</w:t>
      </w:r>
      <w:r w:rsidR="0059367E">
        <w:rPr>
          <w:rFonts w:ascii="Arial" w:hAnsi="Arial" w:cs="Arial"/>
          <w:iCs/>
          <w:sz w:val="22"/>
          <w:szCs w:val="22"/>
        </w:rPr>
        <w:t>10% rispetto al 2017</w:t>
      </w:r>
      <w:r w:rsidR="00AD47A9">
        <w:rPr>
          <w:rFonts w:ascii="Arial" w:hAnsi="Arial" w:cs="Arial"/>
          <w:iCs/>
          <w:sz w:val="22"/>
          <w:szCs w:val="22"/>
        </w:rPr>
        <w:t>)</w:t>
      </w:r>
      <w:r w:rsidR="0059367E">
        <w:rPr>
          <w:rFonts w:ascii="Arial" w:hAnsi="Arial" w:cs="Arial"/>
          <w:iCs/>
          <w:sz w:val="22"/>
          <w:szCs w:val="22"/>
        </w:rPr>
        <w:t>.</w:t>
      </w:r>
      <w:r w:rsidR="00FB2853">
        <w:rPr>
          <w:rFonts w:ascii="Arial" w:hAnsi="Arial" w:cs="Arial"/>
          <w:iCs/>
          <w:sz w:val="22"/>
          <w:szCs w:val="22"/>
        </w:rPr>
        <w:t xml:space="preserve"> </w:t>
      </w:r>
      <w:r w:rsidR="00B86630">
        <w:rPr>
          <w:rFonts w:ascii="Arial" w:hAnsi="Arial" w:cs="Arial"/>
          <w:iCs/>
          <w:sz w:val="22"/>
          <w:szCs w:val="22"/>
        </w:rPr>
        <w:t>Meno numerosi</w:t>
      </w:r>
      <w:r w:rsidR="00FB2853">
        <w:rPr>
          <w:rFonts w:ascii="Arial" w:hAnsi="Arial" w:cs="Arial"/>
          <w:iCs/>
          <w:sz w:val="22"/>
          <w:szCs w:val="22"/>
        </w:rPr>
        <w:t xml:space="preserve"> i</w:t>
      </w:r>
      <w:r w:rsidR="0059367E">
        <w:rPr>
          <w:rFonts w:ascii="Arial" w:hAnsi="Arial" w:cs="Arial"/>
          <w:iCs/>
          <w:sz w:val="22"/>
          <w:szCs w:val="22"/>
        </w:rPr>
        <w:t xml:space="preserve"> flussi provenienti dall’Albania</w:t>
      </w:r>
      <w:r w:rsidR="004D32C2">
        <w:rPr>
          <w:rFonts w:ascii="Arial" w:hAnsi="Arial" w:cs="Arial"/>
          <w:iCs/>
          <w:sz w:val="22"/>
          <w:szCs w:val="22"/>
        </w:rPr>
        <w:t xml:space="preserve"> (oltre 18 mila</w:t>
      </w:r>
      <w:r w:rsidR="00FB2853">
        <w:rPr>
          <w:rFonts w:ascii="Arial" w:hAnsi="Arial" w:cs="Arial"/>
          <w:iCs/>
          <w:sz w:val="22"/>
          <w:szCs w:val="22"/>
        </w:rPr>
        <w:t>) ma in forte aumento rispetto all’anno precedente</w:t>
      </w:r>
      <w:r w:rsidR="009A3C23">
        <w:rPr>
          <w:rFonts w:ascii="Arial" w:hAnsi="Arial" w:cs="Arial"/>
          <w:iCs/>
          <w:sz w:val="22"/>
          <w:szCs w:val="22"/>
        </w:rPr>
        <w:t xml:space="preserve"> (+16%)</w:t>
      </w:r>
      <w:r w:rsidR="00FB2853">
        <w:rPr>
          <w:rFonts w:ascii="Arial" w:hAnsi="Arial" w:cs="Arial"/>
          <w:iCs/>
          <w:sz w:val="22"/>
          <w:szCs w:val="22"/>
        </w:rPr>
        <w:t xml:space="preserve">. </w:t>
      </w:r>
      <w:r w:rsidR="004D32C2">
        <w:rPr>
          <w:rFonts w:ascii="Arial" w:hAnsi="Arial" w:cs="Arial"/>
          <w:iCs/>
          <w:sz w:val="22"/>
          <w:szCs w:val="22"/>
        </w:rPr>
        <w:t>Seguono le iscrizioni da</w:t>
      </w:r>
      <w:r w:rsidR="009A3C23">
        <w:rPr>
          <w:rFonts w:ascii="Arial" w:hAnsi="Arial" w:cs="Arial"/>
          <w:iCs/>
          <w:sz w:val="22"/>
          <w:szCs w:val="22"/>
        </w:rPr>
        <w:t xml:space="preserve"> </w:t>
      </w:r>
      <w:r w:rsidR="004D32C2">
        <w:rPr>
          <w:rFonts w:ascii="Arial" w:hAnsi="Arial" w:cs="Arial"/>
          <w:iCs/>
          <w:sz w:val="22"/>
          <w:szCs w:val="22"/>
        </w:rPr>
        <w:t>Ucraina (8 mila, -2%), Germania (oltre 7 mila, +9%) e Regno Unito (poco meno di 7 mila, +12</w:t>
      </w:r>
      <w:r w:rsidR="00E33B98">
        <w:rPr>
          <w:rFonts w:ascii="Arial" w:hAnsi="Arial" w:cs="Arial"/>
          <w:iCs/>
          <w:sz w:val="22"/>
          <w:szCs w:val="22"/>
        </w:rPr>
        <w:t>%). Per gli ultimi due flussi si tratta prevalentemente di cittadini italiani che fanno rientro in patria dopo un soggiorno all’estero.</w:t>
      </w:r>
    </w:p>
    <w:p w14:paraId="31358927" w14:textId="14693218" w:rsidR="00FB2853" w:rsidRDefault="00AF0397" w:rsidP="00B7647F">
      <w:pPr>
        <w:spacing w:after="120"/>
        <w:jc w:val="both"/>
        <w:outlineLvl w:val="0"/>
        <w:rPr>
          <w:rFonts w:ascii="Arial" w:hAnsi="Arial" w:cs="Arial"/>
          <w:iCs/>
          <w:sz w:val="22"/>
          <w:szCs w:val="22"/>
        </w:rPr>
      </w:pPr>
      <w:r>
        <w:rPr>
          <w:rFonts w:ascii="Arial" w:hAnsi="Arial" w:cs="Arial"/>
          <w:iCs/>
          <w:sz w:val="22"/>
          <w:szCs w:val="22"/>
        </w:rPr>
        <w:t>Sempre consistenti</w:t>
      </w:r>
      <w:r w:rsidR="000D1C88">
        <w:rPr>
          <w:rFonts w:ascii="Arial" w:hAnsi="Arial" w:cs="Arial"/>
          <w:iCs/>
          <w:sz w:val="22"/>
          <w:szCs w:val="22"/>
        </w:rPr>
        <w:t>,</w:t>
      </w:r>
      <w:r>
        <w:rPr>
          <w:rFonts w:ascii="Arial" w:hAnsi="Arial" w:cs="Arial"/>
          <w:iCs/>
          <w:sz w:val="22"/>
          <w:szCs w:val="22"/>
        </w:rPr>
        <w:t xml:space="preserve"> ma </w:t>
      </w:r>
      <w:r w:rsidR="00B86630">
        <w:rPr>
          <w:rFonts w:ascii="Arial" w:hAnsi="Arial" w:cs="Arial"/>
          <w:iCs/>
          <w:sz w:val="22"/>
          <w:szCs w:val="22"/>
        </w:rPr>
        <w:t>nettamente in diminuzione</w:t>
      </w:r>
      <w:r>
        <w:rPr>
          <w:rFonts w:ascii="Arial" w:hAnsi="Arial" w:cs="Arial"/>
          <w:iCs/>
          <w:sz w:val="22"/>
          <w:szCs w:val="22"/>
        </w:rPr>
        <w:t>, le immigrazioni provenienti dal continente africano,</w:t>
      </w:r>
      <w:r w:rsidR="00FB2853">
        <w:rPr>
          <w:rFonts w:ascii="Arial" w:hAnsi="Arial" w:cs="Arial"/>
          <w:iCs/>
          <w:sz w:val="22"/>
          <w:szCs w:val="22"/>
        </w:rPr>
        <w:t xml:space="preserve"> </w:t>
      </w:r>
      <w:r>
        <w:rPr>
          <w:rFonts w:ascii="Arial" w:hAnsi="Arial" w:cs="Arial"/>
          <w:iCs/>
          <w:sz w:val="22"/>
          <w:szCs w:val="22"/>
        </w:rPr>
        <w:t>in particolare quelle provenienti da</w:t>
      </w:r>
      <w:r w:rsidR="00FB2853">
        <w:rPr>
          <w:rFonts w:ascii="Arial" w:hAnsi="Arial" w:cs="Arial"/>
          <w:iCs/>
          <w:sz w:val="22"/>
          <w:szCs w:val="22"/>
        </w:rPr>
        <w:t xml:space="preserve"> </w:t>
      </w:r>
      <w:r w:rsidR="004D32C2">
        <w:rPr>
          <w:rFonts w:ascii="Arial" w:hAnsi="Arial" w:cs="Arial"/>
          <w:iCs/>
          <w:sz w:val="22"/>
          <w:szCs w:val="22"/>
        </w:rPr>
        <w:t xml:space="preserve">Nigeria (18 mila, -24%), Senegal (9 mila, -20 %), </w:t>
      </w:r>
      <w:r w:rsidR="00FB2853">
        <w:rPr>
          <w:rFonts w:ascii="Arial" w:hAnsi="Arial" w:cs="Arial"/>
          <w:iCs/>
          <w:sz w:val="22"/>
          <w:szCs w:val="22"/>
        </w:rPr>
        <w:t>Gambia (</w:t>
      </w:r>
      <w:r w:rsidR="004D32C2">
        <w:rPr>
          <w:rFonts w:ascii="Arial" w:hAnsi="Arial" w:cs="Arial"/>
          <w:iCs/>
          <w:sz w:val="22"/>
          <w:szCs w:val="22"/>
        </w:rPr>
        <w:t xml:space="preserve">6 mila, </w:t>
      </w:r>
      <w:r w:rsidR="00FB2853">
        <w:rPr>
          <w:rFonts w:ascii="Arial" w:hAnsi="Arial" w:cs="Arial"/>
          <w:iCs/>
          <w:sz w:val="22"/>
          <w:szCs w:val="22"/>
        </w:rPr>
        <w:t>-30%), Costa d’Avorio (</w:t>
      </w:r>
      <w:r w:rsidR="004D32C2">
        <w:rPr>
          <w:rFonts w:ascii="Arial" w:hAnsi="Arial" w:cs="Arial"/>
          <w:iCs/>
          <w:sz w:val="22"/>
          <w:szCs w:val="22"/>
        </w:rPr>
        <w:t xml:space="preserve">5 mila, </w:t>
      </w:r>
      <w:r w:rsidR="00FB2853">
        <w:rPr>
          <w:rFonts w:ascii="Arial" w:hAnsi="Arial" w:cs="Arial"/>
          <w:iCs/>
          <w:sz w:val="22"/>
          <w:szCs w:val="22"/>
        </w:rPr>
        <w:t>-27%)</w:t>
      </w:r>
      <w:r w:rsidR="004D32C2">
        <w:rPr>
          <w:rFonts w:ascii="Arial" w:hAnsi="Arial" w:cs="Arial"/>
          <w:iCs/>
          <w:sz w:val="22"/>
          <w:szCs w:val="22"/>
        </w:rPr>
        <w:t xml:space="preserve"> e </w:t>
      </w:r>
      <w:r>
        <w:rPr>
          <w:rFonts w:ascii="Arial" w:hAnsi="Arial" w:cs="Arial"/>
          <w:iCs/>
          <w:sz w:val="22"/>
          <w:szCs w:val="22"/>
        </w:rPr>
        <w:t>Ghana (</w:t>
      </w:r>
      <w:r w:rsidR="004D32C2">
        <w:rPr>
          <w:rFonts w:ascii="Arial" w:hAnsi="Arial" w:cs="Arial"/>
          <w:iCs/>
          <w:sz w:val="22"/>
          <w:szCs w:val="22"/>
        </w:rPr>
        <w:t xml:space="preserve">5 mila, </w:t>
      </w:r>
      <w:r>
        <w:rPr>
          <w:rFonts w:ascii="Arial" w:hAnsi="Arial" w:cs="Arial"/>
          <w:iCs/>
          <w:sz w:val="22"/>
          <w:szCs w:val="22"/>
        </w:rPr>
        <w:t>-25%)</w:t>
      </w:r>
      <w:r w:rsidR="00FB2853" w:rsidRPr="00FB2853">
        <w:rPr>
          <w:rFonts w:ascii="Arial" w:hAnsi="Arial" w:cs="Arial"/>
          <w:iCs/>
          <w:sz w:val="22"/>
          <w:szCs w:val="22"/>
        </w:rPr>
        <w:t xml:space="preserve"> </w:t>
      </w:r>
      <w:r>
        <w:rPr>
          <w:rFonts w:ascii="Arial" w:hAnsi="Arial" w:cs="Arial"/>
          <w:iCs/>
          <w:sz w:val="22"/>
          <w:szCs w:val="22"/>
        </w:rPr>
        <w:t>che durante il 2017 avevano fatto registrare aumenti record.</w:t>
      </w:r>
      <w:r w:rsidR="00742407">
        <w:rPr>
          <w:rFonts w:ascii="Arial" w:hAnsi="Arial" w:cs="Arial"/>
          <w:iCs/>
          <w:sz w:val="22"/>
          <w:szCs w:val="22"/>
        </w:rPr>
        <w:t xml:space="preserve"> Il Marocco è l’unico paese africano che segna una variazione positiva rispetto all’anno precedente (17 mila, +9%)</w:t>
      </w:r>
      <w:r w:rsidR="00E33B98">
        <w:rPr>
          <w:rFonts w:ascii="Arial" w:hAnsi="Arial" w:cs="Arial"/>
          <w:iCs/>
          <w:sz w:val="22"/>
          <w:szCs w:val="22"/>
        </w:rPr>
        <w:t>.</w:t>
      </w:r>
    </w:p>
    <w:p w14:paraId="17463B57" w14:textId="10C8F26F" w:rsidR="00742407" w:rsidRDefault="00AF0397" w:rsidP="00B7647F">
      <w:pPr>
        <w:spacing w:after="120"/>
        <w:jc w:val="both"/>
        <w:outlineLvl w:val="0"/>
        <w:rPr>
          <w:rFonts w:ascii="Arial" w:hAnsi="Arial" w:cs="Arial"/>
          <w:iCs/>
          <w:sz w:val="22"/>
          <w:szCs w:val="22"/>
        </w:rPr>
      </w:pPr>
      <w:r>
        <w:rPr>
          <w:rFonts w:ascii="Arial" w:hAnsi="Arial" w:cs="Arial"/>
          <w:iCs/>
          <w:sz w:val="22"/>
          <w:szCs w:val="22"/>
        </w:rPr>
        <w:t xml:space="preserve">Tra i flussi provenienti dall’area asiatica, i più </w:t>
      </w:r>
      <w:r w:rsidR="00742407">
        <w:rPr>
          <w:rFonts w:ascii="Arial" w:hAnsi="Arial" w:cs="Arial"/>
          <w:iCs/>
          <w:sz w:val="22"/>
          <w:szCs w:val="22"/>
        </w:rPr>
        <w:t>cospicui</w:t>
      </w:r>
      <w:r>
        <w:rPr>
          <w:rFonts w:ascii="Arial" w:hAnsi="Arial" w:cs="Arial"/>
          <w:iCs/>
          <w:sz w:val="22"/>
          <w:szCs w:val="22"/>
        </w:rPr>
        <w:t xml:space="preserve"> sono quelli da Bangladesh e Pakistan (entrambi 13 mila</w:t>
      </w:r>
      <w:r w:rsidR="00742407">
        <w:rPr>
          <w:rFonts w:ascii="Arial" w:hAnsi="Arial" w:cs="Arial"/>
          <w:iCs/>
          <w:sz w:val="22"/>
          <w:szCs w:val="22"/>
        </w:rPr>
        <w:t>, ma in calo rispettivamente di 8% e 12%), le immigrazioni dall’India invece ammontano a oltre 11 mila e aumentano del 42% rispetto al 2017.</w:t>
      </w:r>
      <w:r w:rsidR="00D30AB7">
        <w:rPr>
          <w:rFonts w:ascii="Arial" w:hAnsi="Arial" w:cs="Arial"/>
          <w:iCs/>
          <w:sz w:val="22"/>
          <w:szCs w:val="22"/>
        </w:rPr>
        <w:t xml:space="preserve"> </w:t>
      </w:r>
      <w:r w:rsidR="00742407">
        <w:rPr>
          <w:rFonts w:ascii="Arial" w:hAnsi="Arial" w:cs="Arial"/>
          <w:iCs/>
          <w:sz w:val="22"/>
          <w:szCs w:val="22"/>
        </w:rPr>
        <w:t xml:space="preserve">In aumento anche le iscrizioni dall’America: dal Brasile si contano circa 24 mila iscritti (+18%), dal Venezuela circa 6 mila </w:t>
      </w:r>
      <w:r w:rsidR="004D32C2">
        <w:rPr>
          <w:rFonts w:ascii="Arial" w:hAnsi="Arial" w:cs="Arial"/>
          <w:iCs/>
          <w:sz w:val="22"/>
          <w:szCs w:val="22"/>
        </w:rPr>
        <w:t>(+43%) e</w:t>
      </w:r>
      <w:r w:rsidR="00742407">
        <w:rPr>
          <w:rFonts w:ascii="Arial" w:hAnsi="Arial" w:cs="Arial"/>
          <w:iCs/>
          <w:sz w:val="22"/>
          <w:szCs w:val="22"/>
        </w:rPr>
        <w:t xml:space="preserve"> dagli Stati Uniti oltre 4 mila (+16%). </w:t>
      </w:r>
    </w:p>
    <w:p w14:paraId="7C5F4328" w14:textId="6787FA22" w:rsidR="00B7647F" w:rsidRDefault="00B7647F" w:rsidP="00B7647F">
      <w:pPr>
        <w:spacing w:after="120"/>
        <w:jc w:val="both"/>
        <w:outlineLvl w:val="0"/>
        <w:rPr>
          <w:rFonts w:ascii="Arial" w:hAnsi="Arial" w:cs="Arial"/>
          <w:iCs/>
          <w:sz w:val="22"/>
          <w:szCs w:val="22"/>
        </w:rPr>
      </w:pPr>
      <w:r w:rsidRPr="00B7647F">
        <w:rPr>
          <w:rFonts w:ascii="Arial" w:hAnsi="Arial" w:cs="Arial"/>
          <w:iCs/>
          <w:sz w:val="22"/>
          <w:szCs w:val="22"/>
        </w:rPr>
        <w:t>Le immigrazioni di c</w:t>
      </w:r>
      <w:r w:rsidR="004D32C2">
        <w:rPr>
          <w:rFonts w:ascii="Arial" w:hAnsi="Arial" w:cs="Arial"/>
          <w:iCs/>
          <w:sz w:val="22"/>
          <w:szCs w:val="22"/>
        </w:rPr>
        <w:t>ittadini italiani ammontano a 47</w:t>
      </w:r>
      <w:r w:rsidRPr="00B7647F">
        <w:rPr>
          <w:rFonts w:ascii="Arial" w:hAnsi="Arial" w:cs="Arial"/>
          <w:iCs/>
          <w:sz w:val="22"/>
          <w:szCs w:val="22"/>
        </w:rPr>
        <w:t xml:space="preserve"> mila nel 201</w:t>
      </w:r>
      <w:r w:rsidR="004D32C2">
        <w:rPr>
          <w:rFonts w:ascii="Arial" w:hAnsi="Arial" w:cs="Arial"/>
          <w:iCs/>
          <w:sz w:val="22"/>
          <w:szCs w:val="22"/>
        </w:rPr>
        <w:t>8</w:t>
      </w:r>
      <w:r w:rsidRPr="00B7647F">
        <w:rPr>
          <w:rFonts w:ascii="Arial" w:hAnsi="Arial" w:cs="Arial"/>
          <w:iCs/>
          <w:sz w:val="22"/>
          <w:szCs w:val="22"/>
        </w:rPr>
        <w:t xml:space="preserve"> (</w:t>
      </w:r>
      <w:r w:rsidR="00441049" w:rsidRPr="008A3CC8">
        <w:rPr>
          <w:rFonts w:ascii="Arial" w:hAnsi="Arial" w:cs="Arial"/>
          <w:iCs/>
          <w:sz w:val="22"/>
          <w:szCs w:val="22"/>
        </w:rPr>
        <w:t>14</w:t>
      </w:r>
      <w:r w:rsidRPr="00B7647F">
        <w:rPr>
          <w:rFonts w:ascii="Arial" w:hAnsi="Arial" w:cs="Arial"/>
          <w:iCs/>
          <w:sz w:val="22"/>
          <w:szCs w:val="22"/>
        </w:rPr>
        <w:t xml:space="preserve">% del totale iscritti dall’estero). Si tratta di flussi provenienti in larga parte da </w:t>
      </w:r>
      <w:r w:rsidR="00526DA3">
        <w:rPr>
          <w:rFonts w:ascii="Arial" w:hAnsi="Arial" w:cs="Arial"/>
          <w:iCs/>
          <w:sz w:val="22"/>
          <w:szCs w:val="22"/>
        </w:rPr>
        <w:t>p</w:t>
      </w:r>
      <w:r w:rsidRPr="00B7647F">
        <w:rPr>
          <w:rFonts w:ascii="Arial" w:hAnsi="Arial" w:cs="Arial"/>
          <w:iCs/>
          <w:sz w:val="22"/>
          <w:szCs w:val="22"/>
        </w:rPr>
        <w:t>aesi che sono stati in passato mete</w:t>
      </w:r>
      <w:r w:rsidRPr="00B7647F" w:rsidDel="009D2BFC">
        <w:rPr>
          <w:rFonts w:ascii="Arial" w:hAnsi="Arial" w:cs="Arial"/>
          <w:iCs/>
          <w:sz w:val="22"/>
          <w:szCs w:val="22"/>
        </w:rPr>
        <w:t xml:space="preserve"> </w:t>
      </w:r>
      <w:r w:rsidRPr="00B7647F">
        <w:rPr>
          <w:rFonts w:ascii="Arial" w:hAnsi="Arial" w:cs="Arial"/>
          <w:iCs/>
          <w:sz w:val="22"/>
          <w:szCs w:val="22"/>
        </w:rPr>
        <w:t>di emigrazione italiana. Ai primi posti della graduatoria per provenienza</w:t>
      </w:r>
      <w:r w:rsidR="008A3CC8">
        <w:rPr>
          <w:rFonts w:ascii="Arial" w:hAnsi="Arial" w:cs="Arial"/>
          <w:iCs/>
          <w:sz w:val="22"/>
          <w:szCs w:val="22"/>
        </w:rPr>
        <w:t xml:space="preserve"> </w:t>
      </w:r>
      <w:r w:rsidRPr="00B7647F">
        <w:rPr>
          <w:rFonts w:ascii="Arial" w:hAnsi="Arial" w:cs="Arial"/>
          <w:iCs/>
          <w:sz w:val="22"/>
          <w:szCs w:val="22"/>
        </w:rPr>
        <w:t>si trovano</w:t>
      </w:r>
      <w:r w:rsidR="000E2A6D">
        <w:rPr>
          <w:rFonts w:ascii="Arial" w:hAnsi="Arial" w:cs="Arial"/>
          <w:iCs/>
          <w:sz w:val="22"/>
          <w:szCs w:val="22"/>
        </w:rPr>
        <w:t>, infatti,</w:t>
      </w:r>
      <w:r w:rsidRPr="00B7647F">
        <w:rPr>
          <w:rFonts w:ascii="Arial" w:hAnsi="Arial" w:cs="Arial"/>
          <w:iCs/>
          <w:sz w:val="22"/>
          <w:szCs w:val="22"/>
        </w:rPr>
        <w:t xml:space="preserve"> Brasile</w:t>
      </w:r>
      <w:r w:rsidR="00441049">
        <w:rPr>
          <w:rFonts w:ascii="Arial" w:hAnsi="Arial" w:cs="Arial"/>
          <w:iCs/>
          <w:sz w:val="22"/>
          <w:szCs w:val="22"/>
        </w:rPr>
        <w:t xml:space="preserve"> e Germania</w:t>
      </w:r>
      <w:r w:rsidRPr="00B7647F">
        <w:rPr>
          <w:rFonts w:ascii="Arial" w:hAnsi="Arial" w:cs="Arial"/>
          <w:iCs/>
          <w:sz w:val="22"/>
          <w:szCs w:val="22"/>
        </w:rPr>
        <w:t xml:space="preserve"> (che insieme originano complessivamente </w:t>
      </w:r>
      <w:r w:rsidR="00441049">
        <w:rPr>
          <w:rFonts w:ascii="Arial" w:hAnsi="Arial" w:cs="Arial"/>
          <w:iCs/>
          <w:sz w:val="22"/>
          <w:szCs w:val="22"/>
        </w:rPr>
        <w:t>un quarto</w:t>
      </w:r>
      <w:r w:rsidRPr="00B7647F">
        <w:rPr>
          <w:rFonts w:ascii="Arial" w:hAnsi="Arial" w:cs="Arial"/>
          <w:iCs/>
          <w:sz w:val="22"/>
          <w:szCs w:val="22"/>
        </w:rPr>
        <w:t xml:space="preserve"> dei flussi di immigrazione italiana), Regno Unito (10% sul totale immigrati italian</w:t>
      </w:r>
      <w:r w:rsidR="00441049">
        <w:rPr>
          <w:rFonts w:ascii="Arial" w:hAnsi="Arial" w:cs="Arial"/>
          <w:iCs/>
          <w:sz w:val="22"/>
          <w:szCs w:val="22"/>
        </w:rPr>
        <w:t>i), Svizzera (9%) e Venezuela (7</w:t>
      </w:r>
      <w:r w:rsidRPr="00B7647F">
        <w:rPr>
          <w:rFonts w:ascii="Arial" w:hAnsi="Arial" w:cs="Arial"/>
          <w:iCs/>
          <w:sz w:val="22"/>
          <w:szCs w:val="22"/>
        </w:rPr>
        <w:t xml:space="preserve">%). Per alcuni di essi è plausibile l’ipotesi del rientro in patria dopo un periodo di permanenza all’estero. </w:t>
      </w:r>
    </w:p>
    <w:p w14:paraId="2E4782CF" w14:textId="77777777" w:rsidR="00A8062E" w:rsidRPr="001C29D4" w:rsidRDefault="00A8062E" w:rsidP="008E3E5C">
      <w:pPr>
        <w:autoSpaceDE w:val="0"/>
        <w:autoSpaceDN w:val="0"/>
        <w:adjustRightInd w:val="0"/>
        <w:rPr>
          <w:rFonts w:ascii="Arial Black" w:hAnsi="Arial Black" w:cs="Arial"/>
          <w:iCs/>
          <w:noProof/>
          <w:color w:val="1F497D" w:themeColor="text2"/>
          <w:sz w:val="20"/>
          <w:szCs w:val="22"/>
        </w:rPr>
      </w:pPr>
    </w:p>
    <w:p w14:paraId="26C22498" w14:textId="77777777" w:rsidR="00DB61BB" w:rsidRDefault="00DB61BB" w:rsidP="008E3E5C">
      <w:pPr>
        <w:autoSpaceDE w:val="0"/>
        <w:autoSpaceDN w:val="0"/>
        <w:adjustRightInd w:val="0"/>
        <w:rPr>
          <w:rFonts w:ascii="Arial Black" w:hAnsi="Arial Black" w:cs="Arial"/>
          <w:iCs/>
          <w:noProof/>
          <w:color w:val="1F497D" w:themeColor="text2"/>
          <w:sz w:val="22"/>
          <w:szCs w:val="22"/>
        </w:rPr>
      </w:pPr>
    </w:p>
    <w:p w14:paraId="08720663" w14:textId="6693CBC2" w:rsidR="00A8062E" w:rsidRDefault="003D0A4D" w:rsidP="008E3E5C">
      <w:pPr>
        <w:autoSpaceDE w:val="0"/>
        <w:autoSpaceDN w:val="0"/>
        <w:adjustRightInd w:val="0"/>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9A3C23">
        <w:rPr>
          <w:rFonts w:ascii="Arial Black" w:hAnsi="Arial Black" w:cs="Arial"/>
          <w:iCs/>
          <w:noProof/>
          <w:color w:val="1F497D" w:themeColor="text2"/>
          <w:sz w:val="22"/>
          <w:szCs w:val="22"/>
        </w:rPr>
        <w:t>3</w:t>
      </w:r>
      <w:r w:rsidRPr="00E80B57">
        <w:rPr>
          <w:rFonts w:ascii="Arial Black" w:hAnsi="Arial Black" w:cs="Arial"/>
          <w:iCs/>
          <w:noProof/>
          <w:color w:val="1F497D" w:themeColor="text2"/>
          <w:sz w:val="22"/>
          <w:szCs w:val="22"/>
        </w:rPr>
        <w:t>.</w:t>
      </w:r>
      <w:r w:rsidRPr="00167C86">
        <w:rPr>
          <w:rFonts w:ascii="Arial Narrow" w:hAnsi="Arial Narrow" w:cs="Arial"/>
          <w:b/>
          <w:iCs/>
          <w:noProof/>
          <w:color w:val="5F5F5F"/>
          <w:sz w:val="20"/>
          <w:szCs w:val="20"/>
        </w:rPr>
        <w:t xml:space="preserve"> </w:t>
      </w:r>
      <w:r w:rsidR="008E3E5C">
        <w:rPr>
          <w:rFonts w:ascii="Arial Narrow" w:hAnsi="Arial Narrow" w:cs="Arial"/>
          <w:b/>
          <w:iCs/>
          <w:noProof/>
          <w:color w:val="5F5F5F"/>
          <w:sz w:val="20"/>
          <w:szCs w:val="20"/>
        </w:rPr>
        <w:t xml:space="preserve"> </w:t>
      </w:r>
      <w:r w:rsidR="008E3E5C">
        <w:rPr>
          <w:rFonts w:ascii="Arial Narrow" w:hAnsi="Arial Narrow" w:cs="Arial"/>
          <w:b/>
          <w:iCs/>
          <w:noProof/>
          <w:color w:val="1F497D" w:themeColor="text2"/>
          <w:sz w:val="22"/>
          <w:szCs w:val="22"/>
        </w:rPr>
        <w:t>ISCRIZIONI ANAGRAFICHE DALL’ESTERO PER CONTINENTE DI ORIGINE</w:t>
      </w:r>
    </w:p>
    <w:p w14:paraId="397C10D6" w14:textId="4F088B4E" w:rsidR="008E3E5C" w:rsidRDefault="00FB204E" w:rsidP="008E3E5C">
      <w:pPr>
        <w:autoSpaceDE w:val="0"/>
        <w:autoSpaceDN w:val="0"/>
        <w:adjustRightInd w:val="0"/>
        <w:rPr>
          <w:rFonts w:ascii="Arial Narrow" w:hAnsi="Arial Narrow" w:cs="Arial"/>
          <w:iCs/>
          <w:noProof/>
          <w:color w:val="1F497D" w:themeColor="text2"/>
          <w:sz w:val="22"/>
          <w:szCs w:val="22"/>
        </w:rPr>
      </w:pPr>
      <w:r w:rsidRPr="00A8225D">
        <w:rPr>
          <w:rFonts w:ascii="Arial Narrow" w:hAnsi="Arial Narrow" w:cs="Arial"/>
          <w:iCs/>
          <w:noProof/>
          <w:color w:val="1F497D" w:themeColor="text2"/>
          <w:sz w:val="22"/>
          <w:szCs w:val="22"/>
        </w:rPr>
        <w:t xml:space="preserve">Anni </w:t>
      </w:r>
      <w:r w:rsidR="00F86B3E">
        <w:rPr>
          <w:rFonts w:ascii="Arial Narrow" w:hAnsi="Arial Narrow" w:cs="Arial"/>
          <w:iCs/>
          <w:noProof/>
          <w:color w:val="1F497D" w:themeColor="text2"/>
          <w:sz w:val="22"/>
          <w:szCs w:val="22"/>
        </w:rPr>
        <w:t>2009-2018, valori in migliaia</w:t>
      </w:r>
    </w:p>
    <w:p w14:paraId="679EBE47" w14:textId="77777777" w:rsidR="007E4CD7" w:rsidRDefault="007E4CD7" w:rsidP="008E3E5C">
      <w:pPr>
        <w:autoSpaceDE w:val="0"/>
        <w:autoSpaceDN w:val="0"/>
        <w:adjustRightInd w:val="0"/>
        <w:rPr>
          <w:rFonts w:ascii="Arial Narrow" w:hAnsi="Arial Narrow" w:cs="Arial"/>
          <w:iCs/>
          <w:noProof/>
          <w:color w:val="1F497D" w:themeColor="text2"/>
          <w:sz w:val="22"/>
          <w:szCs w:val="22"/>
        </w:rPr>
      </w:pPr>
    </w:p>
    <w:p w14:paraId="4FF69025" w14:textId="77777777" w:rsidR="00FB204E" w:rsidRDefault="00E14185" w:rsidP="00FB204E">
      <w:pPr>
        <w:spacing w:after="120"/>
        <w:rPr>
          <w:rFonts w:ascii="Arial Narrow" w:hAnsi="Arial Narrow" w:cs="Arial"/>
          <w:iCs/>
          <w:noProof/>
          <w:color w:val="1F497D" w:themeColor="text2"/>
          <w:sz w:val="22"/>
          <w:szCs w:val="22"/>
        </w:rPr>
      </w:pPr>
      <w:r>
        <w:rPr>
          <w:noProof/>
        </w:rPr>
        <w:drawing>
          <wp:inline distT="0" distB="0" distL="0" distR="0" wp14:anchorId="64A89DF1" wp14:editId="781E3C85">
            <wp:extent cx="6441743" cy="2231409"/>
            <wp:effectExtent l="0" t="0" r="0" b="0"/>
            <wp:docPr id="24" name="Gra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04B9ED" w14:textId="77777777" w:rsidR="00ED691A" w:rsidRDefault="00ED691A" w:rsidP="00E1314B">
      <w:pPr>
        <w:rPr>
          <w:rFonts w:ascii="Arial Narrow" w:hAnsi="Arial Narrow" w:cs="Arial"/>
          <w:color w:val="1F497D" w:themeColor="text2"/>
          <w:sz w:val="22"/>
          <w:szCs w:val="22"/>
        </w:rPr>
      </w:pPr>
    </w:p>
    <w:p w14:paraId="3A22AFA0" w14:textId="704EC4FA" w:rsidR="001230AE" w:rsidRPr="00F66509" w:rsidRDefault="00C847FF" w:rsidP="001230AE">
      <w:pPr>
        <w:autoSpaceDE w:val="0"/>
        <w:autoSpaceDN w:val="0"/>
        <w:adjustRightInd w:val="0"/>
        <w:spacing w:after="120"/>
        <w:jc w:val="both"/>
        <w:rPr>
          <w:rFonts w:ascii="Arial" w:hAnsi="Arial" w:cs="Arial"/>
          <w:b/>
          <w:iCs/>
          <w:color w:val="1F497D" w:themeColor="text2"/>
          <w:sz w:val="26"/>
          <w:szCs w:val="26"/>
        </w:rPr>
      </w:pPr>
      <w:r>
        <w:rPr>
          <w:rFonts w:ascii="Arial" w:hAnsi="Arial" w:cs="Arial"/>
          <w:b/>
          <w:iCs/>
          <w:color w:val="1F497D" w:themeColor="text2"/>
          <w:sz w:val="26"/>
          <w:szCs w:val="26"/>
        </w:rPr>
        <w:t>La Lombardia meta di un immigrato su cinque</w:t>
      </w:r>
    </w:p>
    <w:p w14:paraId="5FB872A7" w14:textId="2254E49F" w:rsidR="00F66509" w:rsidRPr="00F66509" w:rsidRDefault="00526DA3" w:rsidP="00F66509">
      <w:pPr>
        <w:autoSpaceDE w:val="0"/>
        <w:autoSpaceDN w:val="0"/>
        <w:adjustRightInd w:val="0"/>
        <w:spacing w:after="120"/>
        <w:jc w:val="both"/>
        <w:rPr>
          <w:rFonts w:ascii="Arial" w:hAnsi="Arial" w:cs="Arial"/>
          <w:iCs/>
          <w:sz w:val="22"/>
          <w:szCs w:val="22"/>
        </w:rPr>
      </w:pPr>
      <w:r w:rsidRPr="00526DA3">
        <w:rPr>
          <w:rFonts w:ascii="Arial" w:hAnsi="Arial" w:cs="Arial"/>
          <w:iCs/>
          <w:sz w:val="22"/>
          <w:szCs w:val="22"/>
        </w:rPr>
        <w:t xml:space="preserve">La </w:t>
      </w:r>
      <w:r w:rsidR="009265A4">
        <w:rPr>
          <w:rFonts w:ascii="Arial" w:hAnsi="Arial" w:cs="Arial"/>
          <w:iCs/>
          <w:sz w:val="22"/>
          <w:szCs w:val="22"/>
        </w:rPr>
        <w:t>destinazione</w:t>
      </w:r>
      <w:r w:rsidRPr="00526DA3">
        <w:rPr>
          <w:rFonts w:ascii="Arial" w:hAnsi="Arial" w:cs="Arial"/>
          <w:iCs/>
          <w:sz w:val="22"/>
          <w:szCs w:val="22"/>
        </w:rPr>
        <w:t xml:space="preserve"> dei migranti </w:t>
      </w:r>
      <w:r w:rsidR="009265A4">
        <w:rPr>
          <w:rFonts w:ascii="Arial" w:hAnsi="Arial" w:cs="Arial"/>
          <w:iCs/>
          <w:sz w:val="22"/>
          <w:szCs w:val="22"/>
        </w:rPr>
        <w:t xml:space="preserve">nel Paese di accoglienza </w:t>
      </w:r>
      <w:r w:rsidRPr="00526DA3">
        <w:rPr>
          <w:rFonts w:ascii="Arial" w:hAnsi="Arial" w:cs="Arial"/>
          <w:iCs/>
          <w:sz w:val="22"/>
          <w:szCs w:val="22"/>
        </w:rPr>
        <w:t>è subordinata a diversi fattori</w:t>
      </w:r>
      <w:r w:rsidR="009265A4">
        <w:rPr>
          <w:rFonts w:ascii="Arial" w:hAnsi="Arial" w:cs="Arial"/>
          <w:iCs/>
          <w:sz w:val="22"/>
          <w:szCs w:val="22"/>
        </w:rPr>
        <w:t xml:space="preserve"> e strettamente connessa </w:t>
      </w:r>
      <w:r w:rsidR="009A3C23">
        <w:rPr>
          <w:rFonts w:ascii="Arial" w:hAnsi="Arial" w:cs="Arial"/>
          <w:iCs/>
          <w:sz w:val="22"/>
          <w:szCs w:val="22"/>
        </w:rPr>
        <w:t>a</w:t>
      </w:r>
      <w:r w:rsidR="001C29D4">
        <w:rPr>
          <w:rFonts w:ascii="Arial" w:hAnsi="Arial" w:cs="Arial"/>
          <w:iCs/>
          <w:sz w:val="22"/>
          <w:szCs w:val="22"/>
        </w:rPr>
        <w:t>l</w:t>
      </w:r>
      <w:r w:rsidR="009265A4">
        <w:rPr>
          <w:rFonts w:ascii="Arial" w:hAnsi="Arial" w:cs="Arial"/>
          <w:iCs/>
          <w:sz w:val="22"/>
          <w:szCs w:val="22"/>
        </w:rPr>
        <w:t xml:space="preserve"> motivo dell’ingresso nel nostro Paese; </w:t>
      </w:r>
      <w:r w:rsidR="00F66509" w:rsidRPr="00F66509">
        <w:rPr>
          <w:rFonts w:ascii="Arial" w:hAnsi="Arial" w:cs="Arial"/>
          <w:iCs/>
          <w:sz w:val="22"/>
          <w:szCs w:val="22"/>
        </w:rPr>
        <w:t>l’offerta di lavoro</w:t>
      </w:r>
      <w:r w:rsidR="0098125E">
        <w:rPr>
          <w:rFonts w:ascii="Arial" w:hAnsi="Arial" w:cs="Arial"/>
          <w:iCs/>
          <w:sz w:val="22"/>
          <w:szCs w:val="22"/>
        </w:rPr>
        <w:t>,</w:t>
      </w:r>
      <w:r w:rsidR="00B86630">
        <w:rPr>
          <w:rFonts w:ascii="Arial" w:hAnsi="Arial" w:cs="Arial"/>
          <w:iCs/>
          <w:sz w:val="22"/>
          <w:szCs w:val="22"/>
        </w:rPr>
        <w:t xml:space="preserve"> la qualità della vita</w:t>
      </w:r>
      <w:r w:rsidR="00F66509" w:rsidRPr="00F66509">
        <w:rPr>
          <w:rFonts w:ascii="Arial" w:hAnsi="Arial" w:cs="Arial"/>
          <w:iCs/>
          <w:sz w:val="22"/>
          <w:szCs w:val="22"/>
        </w:rPr>
        <w:t xml:space="preserve">, </w:t>
      </w:r>
      <w:r w:rsidR="0098125E">
        <w:rPr>
          <w:rFonts w:ascii="Arial" w:hAnsi="Arial" w:cs="Arial"/>
          <w:iCs/>
          <w:sz w:val="22"/>
          <w:szCs w:val="22"/>
        </w:rPr>
        <w:t>le</w:t>
      </w:r>
      <w:r w:rsidR="009265A4">
        <w:rPr>
          <w:rFonts w:ascii="Arial" w:hAnsi="Arial" w:cs="Arial"/>
          <w:iCs/>
          <w:sz w:val="22"/>
          <w:szCs w:val="22"/>
        </w:rPr>
        <w:t xml:space="preserve"> </w:t>
      </w:r>
      <w:r w:rsidR="00F66509" w:rsidRPr="00F66509">
        <w:rPr>
          <w:rFonts w:ascii="Arial" w:hAnsi="Arial" w:cs="Arial"/>
          <w:iCs/>
          <w:sz w:val="22"/>
          <w:szCs w:val="22"/>
        </w:rPr>
        <w:t>componenti legate alla presenza di reti di comunità o familiari che favoriscono i ricongiungimenti</w:t>
      </w:r>
      <w:r w:rsidR="009265A4">
        <w:rPr>
          <w:rFonts w:ascii="Arial" w:hAnsi="Arial" w:cs="Arial"/>
          <w:iCs/>
          <w:sz w:val="22"/>
          <w:szCs w:val="22"/>
        </w:rPr>
        <w:t xml:space="preserve"> sono tra i</w:t>
      </w:r>
      <w:r w:rsidR="0098125E">
        <w:rPr>
          <w:rFonts w:ascii="Arial" w:hAnsi="Arial" w:cs="Arial"/>
          <w:iCs/>
          <w:sz w:val="22"/>
          <w:szCs w:val="22"/>
        </w:rPr>
        <w:t xml:space="preserve"> fattori </w:t>
      </w:r>
      <w:r w:rsidR="009265A4">
        <w:rPr>
          <w:rFonts w:ascii="Arial" w:hAnsi="Arial" w:cs="Arial"/>
          <w:iCs/>
          <w:sz w:val="22"/>
          <w:szCs w:val="22"/>
        </w:rPr>
        <w:t xml:space="preserve">più importanti quando si tratta di flussi di immigrazione connessi </w:t>
      </w:r>
      <w:r w:rsidR="009A3C23">
        <w:rPr>
          <w:rFonts w:ascii="Arial" w:hAnsi="Arial" w:cs="Arial"/>
          <w:iCs/>
          <w:sz w:val="22"/>
          <w:szCs w:val="22"/>
        </w:rPr>
        <w:t xml:space="preserve">a </w:t>
      </w:r>
      <w:r w:rsidR="009265A4">
        <w:rPr>
          <w:rFonts w:ascii="Arial" w:hAnsi="Arial" w:cs="Arial"/>
          <w:iCs/>
          <w:sz w:val="22"/>
          <w:szCs w:val="22"/>
        </w:rPr>
        <w:t>un progetto migratorio</w:t>
      </w:r>
      <w:r w:rsidR="00F66509" w:rsidRPr="00F66509">
        <w:rPr>
          <w:rFonts w:ascii="Arial" w:hAnsi="Arial" w:cs="Arial"/>
          <w:iCs/>
          <w:sz w:val="22"/>
          <w:szCs w:val="22"/>
        </w:rPr>
        <w:t>. Anche la posizione geografica della regione o della provincia di insediamento può condizionare la scelta. Ad esempio, una regione di confine può essere più facilmente meta di trasferimenti da Stati limitrofi, così come le province in cui sono presenti centri di accoglienza per i richiedent</w:t>
      </w:r>
      <w:r w:rsidR="00B86630">
        <w:rPr>
          <w:rFonts w:ascii="Arial" w:hAnsi="Arial" w:cs="Arial"/>
          <w:iCs/>
          <w:sz w:val="22"/>
          <w:szCs w:val="22"/>
        </w:rPr>
        <w:t>i asilo e protezione umanitaria</w:t>
      </w:r>
      <w:r w:rsidR="00F66509" w:rsidRPr="00F66509">
        <w:rPr>
          <w:rFonts w:ascii="Arial" w:hAnsi="Arial" w:cs="Arial"/>
          <w:iCs/>
          <w:sz w:val="22"/>
          <w:szCs w:val="22"/>
        </w:rPr>
        <w:t xml:space="preserve"> </w:t>
      </w:r>
      <w:r w:rsidR="009265A4">
        <w:rPr>
          <w:rFonts w:ascii="Arial" w:hAnsi="Arial" w:cs="Arial"/>
          <w:iCs/>
          <w:sz w:val="22"/>
          <w:szCs w:val="22"/>
        </w:rPr>
        <w:t xml:space="preserve">sono state </w:t>
      </w:r>
      <w:r w:rsidR="00371F91">
        <w:rPr>
          <w:rFonts w:ascii="Arial" w:hAnsi="Arial" w:cs="Arial"/>
          <w:iCs/>
          <w:sz w:val="22"/>
          <w:szCs w:val="22"/>
        </w:rPr>
        <w:t>i</w:t>
      </w:r>
      <w:r w:rsidR="009265A4">
        <w:rPr>
          <w:rFonts w:ascii="Arial" w:hAnsi="Arial" w:cs="Arial"/>
          <w:iCs/>
          <w:sz w:val="22"/>
          <w:szCs w:val="22"/>
        </w:rPr>
        <w:t>nteressate dai flussi migratori dell’emergenza</w:t>
      </w:r>
      <w:r w:rsidR="00371F91">
        <w:rPr>
          <w:rFonts w:ascii="Arial" w:hAnsi="Arial" w:cs="Arial"/>
          <w:iCs/>
          <w:sz w:val="22"/>
          <w:szCs w:val="22"/>
        </w:rPr>
        <w:t xml:space="preserve"> più di altre</w:t>
      </w:r>
      <w:r w:rsidR="00F66509" w:rsidRPr="00F66509">
        <w:rPr>
          <w:rFonts w:ascii="Arial" w:hAnsi="Arial" w:cs="Arial"/>
          <w:iCs/>
          <w:sz w:val="22"/>
          <w:szCs w:val="22"/>
        </w:rPr>
        <w:t>.</w:t>
      </w:r>
    </w:p>
    <w:p w14:paraId="42134F3A" w14:textId="3CFBDEFF" w:rsidR="008136DA" w:rsidRDefault="00BF5E18" w:rsidP="00F66509">
      <w:pPr>
        <w:spacing w:after="120"/>
        <w:jc w:val="both"/>
        <w:outlineLvl w:val="0"/>
        <w:rPr>
          <w:rFonts w:ascii="Arial" w:hAnsi="Arial" w:cs="Arial"/>
          <w:iCs/>
          <w:sz w:val="22"/>
          <w:szCs w:val="22"/>
        </w:rPr>
      </w:pPr>
      <w:r>
        <w:rPr>
          <w:rFonts w:ascii="Arial" w:hAnsi="Arial" w:cs="Arial"/>
          <w:iCs/>
          <w:sz w:val="22"/>
          <w:szCs w:val="22"/>
        </w:rPr>
        <w:t>Nel 2018</w:t>
      </w:r>
      <w:r w:rsidR="00F66509" w:rsidRPr="00F66509">
        <w:rPr>
          <w:rFonts w:ascii="Arial" w:hAnsi="Arial" w:cs="Arial"/>
          <w:iCs/>
          <w:sz w:val="22"/>
          <w:szCs w:val="22"/>
        </w:rPr>
        <w:t xml:space="preserve"> la principale regione di destinazione</w:t>
      </w:r>
      <w:r w:rsidR="00CE6A00">
        <w:rPr>
          <w:rFonts w:ascii="Arial" w:hAnsi="Arial" w:cs="Arial"/>
          <w:iCs/>
          <w:sz w:val="22"/>
          <w:szCs w:val="22"/>
        </w:rPr>
        <w:t xml:space="preserve"> delle iscrizioni dall’estero è, in termini assoluti, </w:t>
      </w:r>
      <w:r w:rsidR="00F66509" w:rsidRPr="00F66509">
        <w:rPr>
          <w:rFonts w:ascii="Arial" w:hAnsi="Arial" w:cs="Arial"/>
          <w:iCs/>
          <w:sz w:val="22"/>
          <w:szCs w:val="22"/>
        </w:rPr>
        <w:t xml:space="preserve">la Lombardia che, da sola, accoglie il </w:t>
      </w:r>
      <w:r w:rsidR="00CE6A00">
        <w:rPr>
          <w:rFonts w:ascii="Arial" w:hAnsi="Arial" w:cs="Arial"/>
          <w:iCs/>
          <w:sz w:val="22"/>
          <w:szCs w:val="22"/>
        </w:rPr>
        <w:t>20</w:t>
      </w:r>
      <w:r w:rsidR="00F66509" w:rsidRPr="00F66509">
        <w:rPr>
          <w:rFonts w:ascii="Arial" w:hAnsi="Arial" w:cs="Arial"/>
          <w:iCs/>
          <w:sz w:val="22"/>
          <w:szCs w:val="22"/>
        </w:rPr>
        <w:t>% dei flussi. Seguono, a grande distanza,</w:t>
      </w:r>
      <w:r w:rsidR="00CE6A00">
        <w:rPr>
          <w:rFonts w:ascii="Arial" w:hAnsi="Arial" w:cs="Arial"/>
          <w:iCs/>
          <w:sz w:val="22"/>
          <w:szCs w:val="22"/>
        </w:rPr>
        <w:t xml:space="preserve"> Veneto e Lazio (entrambe 10%), Emilia-</w:t>
      </w:r>
      <w:r w:rsidR="00F66509" w:rsidRPr="00F66509">
        <w:rPr>
          <w:rFonts w:ascii="Arial" w:hAnsi="Arial" w:cs="Arial"/>
          <w:iCs/>
          <w:sz w:val="22"/>
          <w:szCs w:val="22"/>
        </w:rPr>
        <w:t xml:space="preserve">Romagna (9%), </w:t>
      </w:r>
      <w:r w:rsidR="00CE6A00">
        <w:rPr>
          <w:rFonts w:ascii="Arial" w:hAnsi="Arial" w:cs="Arial"/>
          <w:iCs/>
          <w:sz w:val="22"/>
          <w:szCs w:val="22"/>
        </w:rPr>
        <w:t xml:space="preserve">Toscana e Piemonte (entrambe </w:t>
      </w:r>
      <w:r w:rsidR="00F66509" w:rsidRPr="00F66509">
        <w:rPr>
          <w:rFonts w:ascii="Arial" w:hAnsi="Arial" w:cs="Arial"/>
          <w:iCs/>
          <w:sz w:val="22"/>
          <w:szCs w:val="22"/>
        </w:rPr>
        <w:t>7%). Alcune regioni del Mezzogiorno risultano attrattive, almeno per quanto riguarda la prima residenza sul ter</w:t>
      </w:r>
      <w:r w:rsidR="00CE6A00">
        <w:rPr>
          <w:rFonts w:ascii="Arial" w:hAnsi="Arial" w:cs="Arial"/>
          <w:iCs/>
          <w:sz w:val="22"/>
          <w:szCs w:val="22"/>
        </w:rPr>
        <w:t>ritorio: Campania, Sicilia, Puglia e Calabria ricevono complessivamente il 20</w:t>
      </w:r>
      <w:r w:rsidR="00F66509" w:rsidRPr="00F66509">
        <w:rPr>
          <w:rFonts w:ascii="Arial" w:hAnsi="Arial" w:cs="Arial"/>
          <w:iCs/>
          <w:sz w:val="22"/>
          <w:szCs w:val="22"/>
        </w:rPr>
        <w:t xml:space="preserve">% </w:t>
      </w:r>
      <w:r w:rsidR="00CE6A00">
        <w:rPr>
          <w:rFonts w:ascii="Arial" w:hAnsi="Arial" w:cs="Arial"/>
          <w:iCs/>
          <w:sz w:val="22"/>
          <w:szCs w:val="22"/>
        </w:rPr>
        <w:t>d</w:t>
      </w:r>
      <w:r w:rsidR="00F66509" w:rsidRPr="00F66509">
        <w:rPr>
          <w:rFonts w:ascii="Arial" w:hAnsi="Arial" w:cs="Arial"/>
          <w:iCs/>
          <w:sz w:val="22"/>
          <w:szCs w:val="22"/>
        </w:rPr>
        <w:t>ei flussi</w:t>
      </w:r>
      <w:r w:rsidR="00CE6A00">
        <w:rPr>
          <w:rFonts w:ascii="Arial" w:hAnsi="Arial" w:cs="Arial"/>
          <w:iCs/>
          <w:sz w:val="22"/>
          <w:szCs w:val="22"/>
        </w:rPr>
        <w:t>.</w:t>
      </w:r>
      <w:r w:rsidR="00F37306">
        <w:rPr>
          <w:rFonts w:ascii="Arial" w:hAnsi="Arial" w:cs="Arial"/>
          <w:iCs/>
          <w:sz w:val="22"/>
          <w:szCs w:val="22"/>
        </w:rPr>
        <w:t xml:space="preserve"> In termini relativi, i tassi di immigratorietà più elevati si registrano in Molise, Friuli-Venezia Giulia, Veneto, Emilia-Romagna e Lombardia (7 immigrati ogni 1.000 residenti). I tassi più bassi</w:t>
      </w:r>
      <w:r w:rsidR="00B86630">
        <w:rPr>
          <w:rFonts w:ascii="Arial" w:hAnsi="Arial" w:cs="Arial"/>
          <w:iCs/>
          <w:sz w:val="22"/>
          <w:szCs w:val="22"/>
        </w:rPr>
        <w:t>,</w:t>
      </w:r>
      <w:r w:rsidR="00F37306">
        <w:rPr>
          <w:rFonts w:ascii="Arial" w:hAnsi="Arial" w:cs="Arial"/>
          <w:iCs/>
          <w:sz w:val="22"/>
          <w:szCs w:val="22"/>
        </w:rPr>
        <w:t xml:space="preserve"> invece</w:t>
      </w:r>
      <w:r w:rsidR="00B86630">
        <w:rPr>
          <w:rFonts w:ascii="Arial" w:hAnsi="Arial" w:cs="Arial"/>
          <w:iCs/>
          <w:sz w:val="22"/>
          <w:szCs w:val="22"/>
        </w:rPr>
        <w:t>,</w:t>
      </w:r>
      <w:r w:rsidR="00F37306">
        <w:rPr>
          <w:rFonts w:ascii="Arial" w:hAnsi="Arial" w:cs="Arial"/>
          <w:iCs/>
          <w:sz w:val="22"/>
          <w:szCs w:val="22"/>
        </w:rPr>
        <w:t xml:space="preserve"> si hanno in Puglia e Sardegna (3 per </w:t>
      </w:r>
      <w:r w:rsidR="00E81C75">
        <w:rPr>
          <w:rFonts w:ascii="Arial" w:hAnsi="Arial" w:cs="Arial"/>
          <w:iCs/>
          <w:sz w:val="22"/>
          <w:szCs w:val="22"/>
        </w:rPr>
        <w:t>1.000</w:t>
      </w:r>
      <w:r w:rsidR="00F37306">
        <w:rPr>
          <w:rFonts w:ascii="Arial" w:hAnsi="Arial" w:cs="Arial"/>
          <w:iCs/>
          <w:sz w:val="22"/>
          <w:szCs w:val="22"/>
        </w:rPr>
        <w:t>).</w:t>
      </w:r>
    </w:p>
    <w:p w14:paraId="79D346BF" w14:textId="4B15C1D9" w:rsidR="008136DA" w:rsidRPr="00F66509" w:rsidRDefault="008136DA" w:rsidP="00F66509">
      <w:pPr>
        <w:spacing w:after="120"/>
        <w:jc w:val="both"/>
        <w:outlineLvl w:val="0"/>
        <w:rPr>
          <w:rFonts w:ascii="Arial" w:hAnsi="Arial" w:cs="Arial"/>
          <w:iCs/>
          <w:sz w:val="22"/>
          <w:szCs w:val="22"/>
        </w:rPr>
      </w:pPr>
      <w:r>
        <w:rPr>
          <w:rFonts w:ascii="Arial" w:hAnsi="Arial" w:cs="Arial"/>
          <w:iCs/>
          <w:sz w:val="22"/>
          <w:szCs w:val="22"/>
        </w:rPr>
        <w:t>Il confronto dei tassi di immigr</w:t>
      </w:r>
      <w:r w:rsidR="00B86630">
        <w:rPr>
          <w:rFonts w:ascii="Arial" w:hAnsi="Arial" w:cs="Arial"/>
          <w:iCs/>
          <w:sz w:val="22"/>
          <w:szCs w:val="22"/>
        </w:rPr>
        <w:t xml:space="preserve">atorietà regionali a dieci anni di distanza </w:t>
      </w:r>
      <w:r>
        <w:rPr>
          <w:rFonts w:ascii="Arial" w:hAnsi="Arial" w:cs="Arial"/>
          <w:iCs/>
          <w:sz w:val="22"/>
          <w:szCs w:val="22"/>
        </w:rPr>
        <w:t xml:space="preserve">denota una dinamica in netto calo per quasi tutte le regioni del </w:t>
      </w:r>
      <w:r w:rsidR="00C24426">
        <w:rPr>
          <w:rFonts w:ascii="Arial" w:hAnsi="Arial" w:cs="Arial"/>
          <w:iCs/>
          <w:sz w:val="22"/>
          <w:szCs w:val="22"/>
        </w:rPr>
        <w:t>Centro-nord</w:t>
      </w:r>
      <w:r>
        <w:rPr>
          <w:rFonts w:ascii="Arial" w:hAnsi="Arial" w:cs="Arial"/>
          <w:iCs/>
          <w:sz w:val="22"/>
          <w:szCs w:val="22"/>
        </w:rPr>
        <w:t xml:space="preserve"> a eccezione della provincia autonoma di Bolzano</w:t>
      </w:r>
      <w:r w:rsidR="009A3C23">
        <w:rPr>
          <w:rFonts w:ascii="Arial" w:hAnsi="Arial" w:cs="Arial"/>
          <w:iCs/>
          <w:sz w:val="22"/>
          <w:szCs w:val="22"/>
        </w:rPr>
        <w:t>,</w:t>
      </w:r>
      <w:r>
        <w:rPr>
          <w:rFonts w:ascii="Arial" w:hAnsi="Arial" w:cs="Arial"/>
          <w:iCs/>
          <w:sz w:val="22"/>
          <w:szCs w:val="22"/>
        </w:rPr>
        <w:t xml:space="preserve"> </w:t>
      </w:r>
      <w:r w:rsidR="003F159A">
        <w:rPr>
          <w:rFonts w:ascii="Arial" w:hAnsi="Arial" w:cs="Arial"/>
          <w:iCs/>
          <w:sz w:val="22"/>
          <w:szCs w:val="22"/>
        </w:rPr>
        <w:t>per la</w:t>
      </w:r>
      <w:r>
        <w:rPr>
          <w:rFonts w:ascii="Arial" w:hAnsi="Arial" w:cs="Arial"/>
          <w:iCs/>
          <w:sz w:val="22"/>
          <w:szCs w:val="22"/>
        </w:rPr>
        <w:t xml:space="preserve"> quale </w:t>
      </w:r>
      <w:r w:rsidR="003F159A">
        <w:rPr>
          <w:rFonts w:ascii="Arial" w:hAnsi="Arial" w:cs="Arial"/>
          <w:iCs/>
          <w:sz w:val="22"/>
          <w:szCs w:val="22"/>
        </w:rPr>
        <w:t>si registra una situazione stabile</w:t>
      </w:r>
      <w:r>
        <w:rPr>
          <w:rFonts w:ascii="Arial" w:hAnsi="Arial" w:cs="Arial"/>
          <w:iCs/>
          <w:sz w:val="22"/>
          <w:szCs w:val="22"/>
        </w:rPr>
        <w:t>. Pe</w:t>
      </w:r>
      <w:r w:rsidR="003F159A">
        <w:rPr>
          <w:rFonts w:ascii="Arial" w:hAnsi="Arial" w:cs="Arial"/>
          <w:iCs/>
          <w:sz w:val="22"/>
          <w:szCs w:val="22"/>
        </w:rPr>
        <w:t>r molte regioni del Centro-sud, invece, l</w:t>
      </w:r>
      <w:r>
        <w:rPr>
          <w:rFonts w:ascii="Arial" w:hAnsi="Arial" w:cs="Arial"/>
          <w:iCs/>
          <w:sz w:val="22"/>
          <w:szCs w:val="22"/>
        </w:rPr>
        <w:t>a dinamica</w:t>
      </w:r>
      <w:r w:rsidR="003F159A">
        <w:rPr>
          <w:rFonts w:ascii="Arial" w:hAnsi="Arial" w:cs="Arial"/>
          <w:iCs/>
          <w:sz w:val="22"/>
          <w:szCs w:val="22"/>
        </w:rPr>
        <w:t xml:space="preserve"> è inversa: l</w:t>
      </w:r>
      <w:r>
        <w:rPr>
          <w:rFonts w:ascii="Arial" w:hAnsi="Arial" w:cs="Arial"/>
          <w:iCs/>
          <w:sz w:val="22"/>
          <w:szCs w:val="22"/>
        </w:rPr>
        <w:t>a presen</w:t>
      </w:r>
      <w:r w:rsidR="003F159A">
        <w:rPr>
          <w:rFonts w:ascii="Arial" w:hAnsi="Arial" w:cs="Arial"/>
          <w:iCs/>
          <w:sz w:val="22"/>
          <w:szCs w:val="22"/>
        </w:rPr>
        <w:t xml:space="preserve">za sul territorio dei centri per </w:t>
      </w:r>
      <w:r w:rsidR="00CF1B3B">
        <w:rPr>
          <w:rFonts w:ascii="Arial" w:hAnsi="Arial" w:cs="Arial"/>
          <w:iCs/>
          <w:sz w:val="22"/>
          <w:szCs w:val="22"/>
        </w:rPr>
        <w:t>la prima accoglienza</w:t>
      </w:r>
      <w:r w:rsidR="003F159A">
        <w:rPr>
          <w:rFonts w:ascii="Arial" w:hAnsi="Arial" w:cs="Arial"/>
          <w:iCs/>
          <w:sz w:val="22"/>
          <w:szCs w:val="22"/>
        </w:rPr>
        <w:t xml:space="preserve"> ha favorito l’aumento delle</w:t>
      </w:r>
      <w:r>
        <w:rPr>
          <w:rFonts w:ascii="Arial" w:hAnsi="Arial" w:cs="Arial"/>
          <w:iCs/>
          <w:sz w:val="22"/>
          <w:szCs w:val="22"/>
        </w:rPr>
        <w:t xml:space="preserve"> iscrizioni </w:t>
      </w:r>
      <w:r w:rsidR="003F159A">
        <w:rPr>
          <w:rFonts w:ascii="Arial" w:hAnsi="Arial" w:cs="Arial"/>
          <w:iCs/>
          <w:sz w:val="22"/>
          <w:szCs w:val="22"/>
        </w:rPr>
        <w:t>anagrafiche</w:t>
      </w:r>
      <w:r>
        <w:rPr>
          <w:rFonts w:ascii="Arial" w:hAnsi="Arial" w:cs="Arial"/>
          <w:iCs/>
          <w:sz w:val="22"/>
          <w:szCs w:val="22"/>
        </w:rPr>
        <w:t xml:space="preserve"> dall’</w:t>
      </w:r>
      <w:r w:rsidR="00BE4F8D">
        <w:rPr>
          <w:rFonts w:ascii="Arial" w:hAnsi="Arial" w:cs="Arial"/>
          <w:iCs/>
          <w:sz w:val="22"/>
          <w:szCs w:val="22"/>
        </w:rPr>
        <w:t xml:space="preserve">estero (Figura </w:t>
      </w:r>
      <w:r w:rsidR="009A3C23">
        <w:rPr>
          <w:rFonts w:ascii="Arial" w:hAnsi="Arial" w:cs="Arial"/>
          <w:iCs/>
          <w:sz w:val="22"/>
          <w:szCs w:val="22"/>
        </w:rPr>
        <w:t>4</w:t>
      </w:r>
      <w:r w:rsidR="00BE4F8D">
        <w:rPr>
          <w:rFonts w:ascii="Arial" w:hAnsi="Arial" w:cs="Arial"/>
          <w:iCs/>
          <w:sz w:val="22"/>
          <w:szCs w:val="22"/>
        </w:rPr>
        <w:t>).</w:t>
      </w:r>
    </w:p>
    <w:p w14:paraId="394E160F" w14:textId="1F220BA5" w:rsidR="001954CD" w:rsidRDefault="00F66509" w:rsidP="00F66509">
      <w:pPr>
        <w:spacing w:after="120"/>
        <w:jc w:val="both"/>
        <w:outlineLvl w:val="0"/>
        <w:rPr>
          <w:rFonts w:ascii="Arial" w:hAnsi="Arial" w:cs="Arial"/>
          <w:iCs/>
          <w:sz w:val="22"/>
          <w:szCs w:val="22"/>
        </w:rPr>
      </w:pPr>
      <w:r w:rsidRPr="00F66509">
        <w:rPr>
          <w:rFonts w:ascii="Arial" w:hAnsi="Arial" w:cs="Arial"/>
          <w:iCs/>
          <w:sz w:val="22"/>
          <w:szCs w:val="22"/>
        </w:rPr>
        <w:t>A livello provinciale, i tassi</w:t>
      </w:r>
      <w:r w:rsidR="00CE6A00">
        <w:rPr>
          <w:rFonts w:ascii="Arial" w:hAnsi="Arial" w:cs="Arial"/>
          <w:iCs/>
          <w:sz w:val="22"/>
          <w:szCs w:val="22"/>
        </w:rPr>
        <w:t xml:space="preserve"> </w:t>
      </w:r>
      <w:r w:rsidRPr="00F66509">
        <w:rPr>
          <w:rFonts w:ascii="Arial" w:hAnsi="Arial" w:cs="Arial"/>
          <w:iCs/>
          <w:sz w:val="22"/>
          <w:szCs w:val="22"/>
        </w:rPr>
        <w:t>di immigratorietà più elevati</w:t>
      </w:r>
      <w:r w:rsidR="00CE6A00">
        <w:rPr>
          <w:rFonts w:ascii="Arial" w:hAnsi="Arial" w:cs="Arial"/>
          <w:iCs/>
          <w:sz w:val="22"/>
          <w:szCs w:val="22"/>
        </w:rPr>
        <w:t xml:space="preserve"> </w:t>
      </w:r>
      <w:r w:rsidRPr="00F66509">
        <w:rPr>
          <w:rFonts w:ascii="Arial" w:hAnsi="Arial" w:cs="Arial"/>
          <w:iCs/>
          <w:sz w:val="22"/>
          <w:szCs w:val="22"/>
        </w:rPr>
        <w:t xml:space="preserve">si </w:t>
      </w:r>
      <w:r w:rsidR="00B86630">
        <w:rPr>
          <w:rFonts w:ascii="Arial" w:hAnsi="Arial" w:cs="Arial"/>
          <w:iCs/>
          <w:sz w:val="22"/>
          <w:szCs w:val="22"/>
        </w:rPr>
        <w:t>rilevano</w:t>
      </w:r>
      <w:r w:rsidRPr="00F66509">
        <w:rPr>
          <w:rFonts w:ascii="Arial" w:hAnsi="Arial" w:cs="Arial"/>
          <w:iCs/>
          <w:sz w:val="22"/>
          <w:szCs w:val="22"/>
        </w:rPr>
        <w:t xml:space="preserve"> nelle province di </w:t>
      </w:r>
      <w:r w:rsidR="001954CD">
        <w:rPr>
          <w:rFonts w:ascii="Arial" w:hAnsi="Arial" w:cs="Arial"/>
          <w:iCs/>
          <w:sz w:val="22"/>
          <w:szCs w:val="22"/>
        </w:rPr>
        <w:t>Gorizia</w:t>
      </w:r>
      <w:r w:rsidRPr="00F66509">
        <w:rPr>
          <w:rFonts w:ascii="Arial" w:hAnsi="Arial" w:cs="Arial"/>
          <w:iCs/>
          <w:sz w:val="22"/>
          <w:szCs w:val="22"/>
        </w:rPr>
        <w:t xml:space="preserve"> (1</w:t>
      </w:r>
      <w:r w:rsidR="001954CD">
        <w:rPr>
          <w:rFonts w:ascii="Arial" w:hAnsi="Arial" w:cs="Arial"/>
          <w:iCs/>
          <w:sz w:val="22"/>
          <w:szCs w:val="22"/>
        </w:rPr>
        <w:t>0</w:t>
      </w:r>
      <w:r w:rsidRPr="00F66509">
        <w:rPr>
          <w:rFonts w:ascii="Arial" w:hAnsi="Arial" w:cs="Arial"/>
          <w:iCs/>
          <w:sz w:val="22"/>
          <w:szCs w:val="22"/>
        </w:rPr>
        <w:t xml:space="preserve"> per </w:t>
      </w:r>
      <w:r w:rsidR="00E81C75">
        <w:rPr>
          <w:rFonts w:ascii="Arial" w:hAnsi="Arial" w:cs="Arial"/>
          <w:iCs/>
          <w:sz w:val="22"/>
          <w:szCs w:val="22"/>
        </w:rPr>
        <w:t>1.000</w:t>
      </w:r>
      <w:r w:rsidRPr="00F66509">
        <w:rPr>
          <w:rFonts w:ascii="Arial" w:hAnsi="Arial" w:cs="Arial"/>
          <w:iCs/>
          <w:sz w:val="22"/>
          <w:szCs w:val="22"/>
        </w:rPr>
        <w:t>)</w:t>
      </w:r>
      <w:r w:rsidR="001954CD">
        <w:rPr>
          <w:rFonts w:ascii="Arial" w:hAnsi="Arial" w:cs="Arial"/>
          <w:iCs/>
          <w:sz w:val="22"/>
          <w:szCs w:val="22"/>
        </w:rPr>
        <w:t xml:space="preserve">, Imperia, Prato, Crotone, Mantova e Isernia </w:t>
      </w:r>
      <w:r w:rsidRPr="00F66509">
        <w:rPr>
          <w:rFonts w:ascii="Arial" w:hAnsi="Arial" w:cs="Arial"/>
          <w:iCs/>
          <w:sz w:val="22"/>
          <w:szCs w:val="22"/>
        </w:rPr>
        <w:t>(</w:t>
      </w:r>
      <w:r w:rsidR="001954CD">
        <w:rPr>
          <w:rFonts w:ascii="Arial" w:hAnsi="Arial" w:cs="Arial"/>
          <w:iCs/>
          <w:sz w:val="22"/>
          <w:szCs w:val="22"/>
        </w:rPr>
        <w:t xml:space="preserve">tutte con un tasso pari al 9 per </w:t>
      </w:r>
      <w:r w:rsidR="00E81C75">
        <w:rPr>
          <w:rFonts w:ascii="Arial" w:hAnsi="Arial" w:cs="Arial"/>
          <w:iCs/>
          <w:sz w:val="22"/>
          <w:szCs w:val="22"/>
        </w:rPr>
        <w:t>1.000</w:t>
      </w:r>
      <w:r w:rsidRPr="00F66509">
        <w:rPr>
          <w:rFonts w:ascii="Arial" w:hAnsi="Arial" w:cs="Arial"/>
          <w:iCs/>
          <w:sz w:val="22"/>
          <w:szCs w:val="22"/>
        </w:rPr>
        <w:t>);</w:t>
      </w:r>
      <w:r w:rsidR="00C24426">
        <w:rPr>
          <w:rFonts w:ascii="Arial" w:hAnsi="Arial" w:cs="Arial"/>
          <w:iCs/>
          <w:sz w:val="22"/>
          <w:szCs w:val="22"/>
        </w:rPr>
        <w:t xml:space="preserve"> quasi tutte</w:t>
      </w:r>
      <w:r w:rsidRPr="00F66509">
        <w:rPr>
          <w:rFonts w:ascii="Arial" w:hAnsi="Arial" w:cs="Arial"/>
          <w:iCs/>
          <w:sz w:val="22"/>
          <w:szCs w:val="22"/>
        </w:rPr>
        <w:t xml:space="preserve"> </w:t>
      </w:r>
      <w:r w:rsidR="001954CD">
        <w:rPr>
          <w:rFonts w:ascii="Arial" w:hAnsi="Arial" w:cs="Arial"/>
          <w:iCs/>
          <w:sz w:val="22"/>
          <w:szCs w:val="22"/>
        </w:rPr>
        <w:t xml:space="preserve">le città metropolitane </w:t>
      </w:r>
      <w:r w:rsidR="00C24426">
        <w:rPr>
          <w:rFonts w:ascii="Arial" w:hAnsi="Arial" w:cs="Arial"/>
          <w:iCs/>
          <w:sz w:val="22"/>
          <w:szCs w:val="22"/>
        </w:rPr>
        <w:t xml:space="preserve">del Centro-nord (a eccezione di Torino, con un tasso pari al 4,6 per </w:t>
      </w:r>
      <w:r w:rsidR="00E81C75">
        <w:rPr>
          <w:rFonts w:ascii="Arial" w:hAnsi="Arial" w:cs="Arial"/>
          <w:iCs/>
          <w:sz w:val="22"/>
          <w:szCs w:val="22"/>
        </w:rPr>
        <w:t>1.000</w:t>
      </w:r>
      <w:r w:rsidR="00C24426">
        <w:rPr>
          <w:rFonts w:ascii="Arial" w:hAnsi="Arial" w:cs="Arial"/>
          <w:iCs/>
          <w:sz w:val="22"/>
          <w:szCs w:val="22"/>
        </w:rPr>
        <w:t xml:space="preserve">) hanno un tasso di immigratorietà superiore alla media Italia (5,5 per </w:t>
      </w:r>
      <w:r w:rsidR="00E81C75">
        <w:rPr>
          <w:rFonts w:ascii="Arial" w:hAnsi="Arial" w:cs="Arial"/>
          <w:iCs/>
          <w:sz w:val="22"/>
          <w:szCs w:val="22"/>
        </w:rPr>
        <w:t>1.000</w:t>
      </w:r>
      <w:r w:rsidR="00C24426">
        <w:rPr>
          <w:rFonts w:ascii="Arial" w:hAnsi="Arial" w:cs="Arial"/>
          <w:iCs/>
          <w:sz w:val="22"/>
          <w:szCs w:val="22"/>
        </w:rPr>
        <w:t xml:space="preserve">). Tra i più alti, </w:t>
      </w:r>
      <w:r w:rsidR="009A3C23">
        <w:rPr>
          <w:rFonts w:ascii="Arial" w:hAnsi="Arial" w:cs="Arial"/>
          <w:iCs/>
          <w:sz w:val="22"/>
          <w:szCs w:val="22"/>
        </w:rPr>
        <w:t>quelli</w:t>
      </w:r>
      <w:r w:rsidR="00C24426">
        <w:rPr>
          <w:rFonts w:ascii="Arial" w:hAnsi="Arial" w:cs="Arial"/>
          <w:iCs/>
          <w:sz w:val="22"/>
          <w:szCs w:val="22"/>
        </w:rPr>
        <w:t xml:space="preserve"> di Venezia e Milano (entrambe 7,1 per </w:t>
      </w:r>
      <w:r w:rsidR="00E81C75">
        <w:rPr>
          <w:rFonts w:ascii="Arial" w:hAnsi="Arial" w:cs="Arial"/>
          <w:iCs/>
          <w:sz w:val="22"/>
          <w:szCs w:val="22"/>
        </w:rPr>
        <w:t>1.000</w:t>
      </w:r>
      <w:r w:rsidR="00C24426">
        <w:rPr>
          <w:rFonts w:ascii="Arial" w:hAnsi="Arial" w:cs="Arial"/>
          <w:iCs/>
          <w:sz w:val="22"/>
          <w:szCs w:val="22"/>
        </w:rPr>
        <w:t xml:space="preserve">). Viceversa, le città metropolitane del Centro-sud riportano tassi inferiori alla media nazionale, a eccezione di Reggio di Calabria (5,9 per </w:t>
      </w:r>
      <w:r w:rsidR="00E81C75">
        <w:rPr>
          <w:rFonts w:ascii="Arial" w:hAnsi="Arial" w:cs="Arial"/>
          <w:iCs/>
          <w:sz w:val="22"/>
          <w:szCs w:val="22"/>
        </w:rPr>
        <w:t>1.000</w:t>
      </w:r>
      <w:r w:rsidR="00C24426">
        <w:rPr>
          <w:rFonts w:ascii="Arial" w:hAnsi="Arial" w:cs="Arial"/>
          <w:iCs/>
          <w:sz w:val="22"/>
          <w:szCs w:val="22"/>
        </w:rPr>
        <w:t>). Tra i</w:t>
      </w:r>
      <w:r w:rsidR="00DB7938">
        <w:rPr>
          <w:rFonts w:ascii="Arial" w:hAnsi="Arial" w:cs="Arial"/>
          <w:iCs/>
          <w:sz w:val="22"/>
          <w:szCs w:val="22"/>
        </w:rPr>
        <w:t xml:space="preserve"> tassi più bassi quelli </w:t>
      </w:r>
      <w:r w:rsidR="00C24426">
        <w:rPr>
          <w:rFonts w:ascii="Arial" w:hAnsi="Arial" w:cs="Arial"/>
          <w:iCs/>
          <w:sz w:val="22"/>
          <w:szCs w:val="22"/>
        </w:rPr>
        <w:t xml:space="preserve">di Napoli e Palermo con, rispettivamente, 2,8 e 2,6 immigrati dall’estero per </w:t>
      </w:r>
      <w:r w:rsidR="00E81C75">
        <w:rPr>
          <w:rFonts w:ascii="Arial" w:hAnsi="Arial" w:cs="Arial"/>
          <w:iCs/>
          <w:sz w:val="22"/>
          <w:szCs w:val="22"/>
        </w:rPr>
        <w:t>1.000</w:t>
      </w:r>
      <w:r w:rsidR="00C24426">
        <w:rPr>
          <w:rFonts w:ascii="Arial" w:hAnsi="Arial" w:cs="Arial"/>
          <w:iCs/>
          <w:sz w:val="22"/>
          <w:szCs w:val="22"/>
        </w:rPr>
        <w:t xml:space="preserve"> residenti.</w:t>
      </w:r>
    </w:p>
    <w:p w14:paraId="03B0FCEB" w14:textId="77777777" w:rsidR="00514D6A" w:rsidRDefault="00514D6A" w:rsidP="00F66509">
      <w:pPr>
        <w:spacing w:after="120"/>
        <w:jc w:val="both"/>
        <w:outlineLvl w:val="0"/>
        <w:rPr>
          <w:rFonts w:ascii="Arial" w:hAnsi="Arial" w:cs="Arial"/>
          <w:iCs/>
          <w:sz w:val="22"/>
          <w:szCs w:val="22"/>
        </w:rPr>
      </w:pPr>
    </w:p>
    <w:p w14:paraId="77317722" w14:textId="77777777" w:rsidR="00E81C75" w:rsidRDefault="00E81C75" w:rsidP="00F66509">
      <w:pPr>
        <w:spacing w:after="120"/>
        <w:jc w:val="both"/>
        <w:outlineLvl w:val="0"/>
        <w:rPr>
          <w:rFonts w:ascii="Arial" w:hAnsi="Arial" w:cs="Arial"/>
          <w:iCs/>
          <w:sz w:val="22"/>
          <w:szCs w:val="22"/>
        </w:rPr>
      </w:pPr>
    </w:p>
    <w:p w14:paraId="6718DD71" w14:textId="77777777" w:rsidR="00514D6A" w:rsidRDefault="00514D6A" w:rsidP="00F66509">
      <w:pPr>
        <w:spacing w:after="120"/>
        <w:jc w:val="both"/>
        <w:outlineLvl w:val="0"/>
        <w:rPr>
          <w:rFonts w:ascii="Arial" w:hAnsi="Arial" w:cs="Arial"/>
          <w:iCs/>
          <w:sz w:val="22"/>
          <w:szCs w:val="22"/>
        </w:rPr>
      </w:pPr>
    </w:p>
    <w:p w14:paraId="14AB33DE" w14:textId="77777777" w:rsidR="00C3204A" w:rsidRDefault="00C3204A" w:rsidP="00F66509">
      <w:pPr>
        <w:spacing w:after="120"/>
        <w:jc w:val="both"/>
        <w:outlineLvl w:val="0"/>
        <w:rPr>
          <w:rFonts w:ascii="Arial" w:hAnsi="Arial" w:cs="Arial"/>
          <w:iCs/>
          <w:sz w:val="22"/>
          <w:szCs w:val="22"/>
        </w:rPr>
      </w:pPr>
    </w:p>
    <w:p w14:paraId="3FF4381B" w14:textId="77777777" w:rsidR="00514D6A" w:rsidRPr="00F66509" w:rsidRDefault="00514D6A" w:rsidP="00F66509">
      <w:pPr>
        <w:spacing w:after="120"/>
        <w:jc w:val="both"/>
        <w:outlineLvl w:val="0"/>
        <w:rPr>
          <w:rFonts w:ascii="Arial" w:hAnsi="Arial" w:cs="Arial"/>
          <w:iCs/>
          <w:sz w:val="22"/>
          <w:szCs w:val="22"/>
        </w:rPr>
      </w:pPr>
    </w:p>
    <w:p w14:paraId="1719278C" w14:textId="77777777" w:rsidR="00F06DF2" w:rsidRDefault="00F06DF2" w:rsidP="00F66509">
      <w:pPr>
        <w:rPr>
          <w:rFonts w:ascii="Arial" w:hAnsi="Arial" w:cs="Arial"/>
          <w:iCs/>
          <w:sz w:val="22"/>
          <w:szCs w:val="22"/>
        </w:rPr>
      </w:pPr>
    </w:p>
    <w:p w14:paraId="3B0EE121" w14:textId="78256C0A" w:rsidR="00F06DF2" w:rsidRDefault="00F06DF2" w:rsidP="00F06DF2">
      <w:pPr>
        <w:autoSpaceDE w:val="0"/>
        <w:autoSpaceDN w:val="0"/>
        <w:adjustRightInd w:val="0"/>
        <w:rPr>
          <w:rFonts w:ascii="Arial Narrow" w:hAnsi="Arial Narrow" w:cs="Arial"/>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9A3C23">
        <w:rPr>
          <w:rFonts w:ascii="Arial Black" w:hAnsi="Arial Black" w:cs="Arial"/>
          <w:iCs/>
          <w:noProof/>
          <w:color w:val="1F497D" w:themeColor="text2"/>
          <w:sz w:val="22"/>
          <w:szCs w:val="22"/>
        </w:rPr>
        <w:t>4</w:t>
      </w:r>
      <w:r w:rsidRPr="00E80B57">
        <w:rPr>
          <w:rFonts w:ascii="Arial Black" w:hAnsi="Arial Black" w:cs="Arial"/>
          <w:iCs/>
          <w:noProof/>
          <w:color w:val="1F497D" w:themeColor="text2"/>
          <w:sz w:val="22"/>
          <w:szCs w:val="22"/>
        </w:rPr>
        <w:t>.</w:t>
      </w:r>
      <w:r>
        <w:rPr>
          <w:rFonts w:ascii="Arial Narrow" w:hAnsi="Arial Narrow" w:cs="Arial"/>
          <w:b/>
          <w:iCs/>
          <w:noProof/>
          <w:color w:val="5F5F5F"/>
          <w:sz w:val="20"/>
          <w:szCs w:val="20"/>
        </w:rPr>
        <w:t xml:space="preserve"> </w:t>
      </w:r>
      <w:r>
        <w:rPr>
          <w:rFonts w:ascii="Arial Narrow" w:hAnsi="Arial Narrow" w:cs="Arial"/>
          <w:b/>
          <w:iCs/>
          <w:noProof/>
          <w:color w:val="1F497D" w:themeColor="text2"/>
          <w:sz w:val="22"/>
          <w:szCs w:val="22"/>
        </w:rPr>
        <w:t>TASSI DI IMMIGRATORIET</w:t>
      </w:r>
      <w:r w:rsidR="00EB564D">
        <w:rPr>
          <w:rFonts w:ascii="Arial Narrow" w:hAnsi="Arial Narrow" w:cs="Arial"/>
          <w:b/>
          <w:iCs/>
          <w:noProof/>
          <w:color w:val="1F497D" w:themeColor="text2"/>
          <w:sz w:val="22"/>
          <w:szCs w:val="22"/>
        </w:rPr>
        <w:t>À</w:t>
      </w:r>
      <w:r>
        <w:rPr>
          <w:rFonts w:ascii="Arial Narrow" w:hAnsi="Arial Narrow" w:cs="Arial"/>
          <w:b/>
          <w:iCs/>
          <w:noProof/>
          <w:color w:val="1F497D" w:themeColor="text2"/>
          <w:sz w:val="22"/>
          <w:szCs w:val="22"/>
        </w:rPr>
        <w:t xml:space="preserve"> DALL’ESTERO PER REGIONI DI DESTINAZIONE. </w:t>
      </w:r>
      <w:r w:rsidRPr="00A8225D">
        <w:rPr>
          <w:rFonts w:ascii="Arial Narrow" w:hAnsi="Arial Narrow" w:cs="Arial"/>
          <w:iCs/>
          <w:noProof/>
          <w:color w:val="1F497D" w:themeColor="text2"/>
          <w:sz w:val="22"/>
          <w:szCs w:val="22"/>
        </w:rPr>
        <w:t xml:space="preserve">Anni </w:t>
      </w:r>
      <w:r>
        <w:rPr>
          <w:rFonts w:ascii="Arial Narrow" w:hAnsi="Arial Narrow" w:cs="Arial"/>
          <w:iCs/>
          <w:noProof/>
          <w:color w:val="1F497D" w:themeColor="text2"/>
          <w:sz w:val="22"/>
          <w:szCs w:val="22"/>
        </w:rPr>
        <w:t xml:space="preserve">2009 e 2018, </w:t>
      </w:r>
      <w:r w:rsidR="000208E2">
        <w:rPr>
          <w:rFonts w:ascii="Arial Narrow" w:hAnsi="Arial Narrow" w:cs="Arial"/>
          <w:iCs/>
          <w:noProof/>
          <w:color w:val="1F497D" w:themeColor="text2"/>
          <w:sz w:val="22"/>
          <w:szCs w:val="22"/>
        </w:rPr>
        <w:t>tassi</w:t>
      </w:r>
      <w:r>
        <w:rPr>
          <w:rFonts w:ascii="Arial Narrow" w:hAnsi="Arial Narrow" w:cs="Arial"/>
          <w:iCs/>
          <w:noProof/>
          <w:color w:val="1F497D" w:themeColor="text2"/>
          <w:sz w:val="22"/>
          <w:szCs w:val="22"/>
        </w:rPr>
        <w:t xml:space="preserve"> per </w:t>
      </w:r>
      <w:r w:rsidR="00E81C75">
        <w:rPr>
          <w:rFonts w:ascii="Arial Narrow" w:hAnsi="Arial Narrow" w:cs="Arial"/>
          <w:iCs/>
          <w:noProof/>
          <w:color w:val="1F497D" w:themeColor="text2"/>
          <w:sz w:val="22"/>
          <w:szCs w:val="22"/>
        </w:rPr>
        <w:t>1.000</w:t>
      </w:r>
      <w:r w:rsidR="000208E2">
        <w:rPr>
          <w:rFonts w:ascii="Arial Narrow" w:hAnsi="Arial Narrow" w:cs="Arial"/>
          <w:iCs/>
          <w:noProof/>
          <w:color w:val="1F497D" w:themeColor="text2"/>
          <w:sz w:val="22"/>
          <w:szCs w:val="22"/>
        </w:rPr>
        <w:t xml:space="preserve"> residenti</w:t>
      </w:r>
    </w:p>
    <w:p w14:paraId="1EFF07B5" w14:textId="77777777" w:rsidR="00E67373" w:rsidRDefault="00E67373" w:rsidP="00F06DF2">
      <w:pPr>
        <w:autoSpaceDE w:val="0"/>
        <w:autoSpaceDN w:val="0"/>
        <w:adjustRightInd w:val="0"/>
        <w:rPr>
          <w:rFonts w:ascii="Arial Narrow" w:hAnsi="Arial Narrow" w:cs="Arial"/>
          <w:iCs/>
          <w:noProof/>
          <w:color w:val="1F497D" w:themeColor="text2"/>
          <w:sz w:val="22"/>
          <w:szCs w:val="22"/>
        </w:rPr>
      </w:pPr>
    </w:p>
    <w:p w14:paraId="44DF7C77" w14:textId="77777777" w:rsidR="00F06DF2" w:rsidRDefault="00F06DF2" w:rsidP="00F66509">
      <w:pPr>
        <w:rPr>
          <w:rFonts w:ascii="Arial" w:hAnsi="Arial" w:cs="Arial"/>
          <w:iCs/>
          <w:sz w:val="22"/>
          <w:szCs w:val="22"/>
        </w:rPr>
      </w:pPr>
      <w:r>
        <w:rPr>
          <w:noProof/>
        </w:rPr>
        <w:drawing>
          <wp:inline distT="0" distB="0" distL="0" distR="0" wp14:anchorId="697F7B1E" wp14:editId="08CB6597">
            <wp:extent cx="6315389" cy="2411605"/>
            <wp:effectExtent l="0" t="0" r="0" b="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B806AF" w14:textId="77777777" w:rsidR="009A3C23" w:rsidRDefault="009A3C23" w:rsidP="00514D6A">
      <w:pPr>
        <w:rPr>
          <w:rFonts w:ascii="Arial" w:hAnsi="Arial" w:cs="Arial"/>
          <w:b/>
          <w:iCs/>
          <w:color w:val="1F497D" w:themeColor="text2"/>
          <w:sz w:val="26"/>
          <w:szCs w:val="26"/>
        </w:rPr>
      </w:pPr>
    </w:p>
    <w:p w14:paraId="67FCD648" w14:textId="627F2151" w:rsidR="003D059D" w:rsidRDefault="00D30AB7" w:rsidP="009718E2">
      <w:pPr>
        <w:spacing w:after="120"/>
        <w:rPr>
          <w:rFonts w:ascii="Arial" w:hAnsi="Arial" w:cs="Arial"/>
          <w:iCs/>
          <w:sz w:val="22"/>
          <w:szCs w:val="22"/>
        </w:rPr>
      </w:pPr>
      <w:r>
        <w:rPr>
          <w:rFonts w:ascii="Arial" w:hAnsi="Arial" w:cs="Arial"/>
          <w:b/>
          <w:iCs/>
          <w:color w:val="1F497D" w:themeColor="text2"/>
          <w:sz w:val="26"/>
          <w:szCs w:val="26"/>
        </w:rPr>
        <w:t>Gli immigrati sono prevalentemente uomini</w:t>
      </w:r>
    </w:p>
    <w:p w14:paraId="72F831B4" w14:textId="3981A895" w:rsidR="00573D5B" w:rsidRDefault="00514D6A" w:rsidP="009718E2">
      <w:pPr>
        <w:jc w:val="both"/>
        <w:rPr>
          <w:rFonts w:ascii="Arial" w:hAnsi="Arial" w:cs="Arial"/>
          <w:iCs/>
          <w:sz w:val="22"/>
          <w:szCs w:val="22"/>
        </w:rPr>
      </w:pPr>
      <w:r w:rsidRPr="00F66509">
        <w:rPr>
          <w:rFonts w:ascii="Arial" w:hAnsi="Arial" w:cs="Arial"/>
          <w:iCs/>
          <w:sz w:val="22"/>
          <w:szCs w:val="22"/>
        </w:rPr>
        <w:t>Nel 201</w:t>
      </w:r>
      <w:r w:rsidR="00573D5B">
        <w:rPr>
          <w:rFonts w:ascii="Arial" w:hAnsi="Arial" w:cs="Arial"/>
          <w:iCs/>
          <w:sz w:val="22"/>
          <w:szCs w:val="22"/>
        </w:rPr>
        <w:t>8</w:t>
      </w:r>
      <w:r w:rsidRPr="00F66509">
        <w:rPr>
          <w:rFonts w:ascii="Arial" w:hAnsi="Arial" w:cs="Arial"/>
          <w:iCs/>
          <w:sz w:val="22"/>
          <w:szCs w:val="22"/>
        </w:rPr>
        <w:t xml:space="preserve"> la popolazione migrante </w:t>
      </w:r>
      <w:r w:rsidR="0076224E">
        <w:rPr>
          <w:rFonts w:ascii="Arial" w:hAnsi="Arial" w:cs="Arial"/>
          <w:iCs/>
          <w:sz w:val="22"/>
          <w:szCs w:val="22"/>
        </w:rPr>
        <w:t xml:space="preserve">iscritta in anagrafe </w:t>
      </w:r>
      <w:r w:rsidRPr="00F66509">
        <w:rPr>
          <w:rFonts w:ascii="Arial" w:hAnsi="Arial" w:cs="Arial"/>
          <w:iCs/>
          <w:sz w:val="22"/>
          <w:szCs w:val="22"/>
        </w:rPr>
        <w:t xml:space="preserve">evidenzia, nel complesso, un </w:t>
      </w:r>
      <w:r w:rsidR="00C67F2A">
        <w:rPr>
          <w:rFonts w:ascii="Arial" w:hAnsi="Arial" w:cs="Arial"/>
          <w:iCs/>
          <w:sz w:val="22"/>
          <w:szCs w:val="22"/>
        </w:rPr>
        <w:t xml:space="preserve">lieve </w:t>
      </w:r>
      <w:r w:rsidRPr="00F66509">
        <w:rPr>
          <w:rFonts w:ascii="Arial" w:hAnsi="Arial" w:cs="Arial"/>
          <w:iCs/>
          <w:sz w:val="22"/>
          <w:szCs w:val="22"/>
        </w:rPr>
        <w:t>squilibrio di genere a favore degli uomini (</w:t>
      </w:r>
      <w:r w:rsidR="00784F5C">
        <w:rPr>
          <w:rFonts w:ascii="Arial" w:hAnsi="Arial" w:cs="Arial"/>
          <w:iCs/>
          <w:sz w:val="22"/>
          <w:szCs w:val="22"/>
        </w:rPr>
        <w:t>56</w:t>
      </w:r>
      <w:r w:rsidRPr="00F66509">
        <w:rPr>
          <w:rFonts w:ascii="Arial" w:hAnsi="Arial" w:cs="Arial"/>
          <w:iCs/>
          <w:sz w:val="22"/>
          <w:szCs w:val="22"/>
        </w:rPr>
        <w:t>%). Questo rapporto di composizione varia a seconda delle cittadinanze dei migranti. In generale,</w:t>
      </w:r>
      <w:r w:rsidR="00ED7C74">
        <w:rPr>
          <w:rFonts w:ascii="Arial" w:hAnsi="Arial" w:cs="Arial"/>
          <w:iCs/>
          <w:sz w:val="22"/>
          <w:szCs w:val="22"/>
        </w:rPr>
        <w:t xml:space="preserve"> gli immigrati con passaporto europeo sono in</w:t>
      </w:r>
      <w:r w:rsidR="00D373C5">
        <w:rPr>
          <w:rFonts w:ascii="Arial" w:hAnsi="Arial" w:cs="Arial"/>
          <w:iCs/>
          <w:sz w:val="22"/>
          <w:szCs w:val="22"/>
        </w:rPr>
        <w:t xml:space="preserve"> prevalenza donne (53%) grazie al contributo delle migranti ucraine, rumene e albanesi che </w:t>
      </w:r>
      <w:r w:rsidR="00864116">
        <w:rPr>
          <w:rFonts w:ascii="Arial" w:hAnsi="Arial" w:cs="Arial"/>
          <w:iCs/>
          <w:sz w:val="22"/>
          <w:szCs w:val="22"/>
        </w:rPr>
        <w:t xml:space="preserve">hanno un’incidenza </w:t>
      </w:r>
      <w:r w:rsidR="00D373C5">
        <w:rPr>
          <w:rFonts w:ascii="Arial" w:hAnsi="Arial" w:cs="Arial"/>
          <w:iCs/>
          <w:sz w:val="22"/>
          <w:szCs w:val="22"/>
        </w:rPr>
        <w:t xml:space="preserve">rispettivamente </w:t>
      </w:r>
      <w:r w:rsidR="00864116">
        <w:rPr>
          <w:rFonts w:ascii="Arial" w:hAnsi="Arial" w:cs="Arial"/>
          <w:iCs/>
          <w:sz w:val="22"/>
          <w:szCs w:val="22"/>
        </w:rPr>
        <w:t xml:space="preserve">pari al </w:t>
      </w:r>
      <w:r w:rsidR="00D373C5">
        <w:rPr>
          <w:rFonts w:ascii="Arial" w:hAnsi="Arial" w:cs="Arial"/>
          <w:iCs/>
          <w:sz w:val="22"/>
          <w:szCs w:val="22"/>
        </w:rPr>
        <w:t xml:space="preserve">70%, </w:t>
      </w:r>
      <w:r w:rsidR="00864116">
        <w:rPr>
          <w:rFonts w:ascii="Arial" w:hAnsi="Arial" w:cs="Arial"/>
          <w:iCs/>
          <w:sz w:val="22"/>
          <w:szCs w:val="22"/>
        </w:rPr>
        <w:t xml:space="preserve">al </w:t>
      </w:r>
      <w:r w:rsidR="00D373C5">
        <w:rPr>
          <w:rFonts w:ascii="Arial" w:hAnsi="Arial" w:cs="Arial"/>
          <w:iCs/>
          <w:sz w:val="22"/>
          <w:szCs w:val="22"/>
        </w:rPr>
        <w:t xml:space="preserve">59% e </w:t>
      </w:r>
      <w:r w:rsidR="00864116">
        <w:rPr>
          <w:rFonts w:ascii="Arial" w:hAnsi="Arial" w:cs="Arial"/>
          <w:iCs/>
          <w:sz w:val="22"/>
          <w:szCs w:val="22"/>
        </w:rPr>
        <w:t xml:space="preserve">al </w:t>
      </w:r>
      <w:r w:rsidR="00D373C5">
        <w:rPr>
          <w:rFonts w:ascii="Arial" w:hAnsi="Arial" w:cs="Arial"/>
          <w:iCs/>
          <w:sz w:val="22"/>
          <w:szCs w:val="22"/>
        </w:rPr>
        <w:t>52%</w:t>
      </w:r>
      <w:r w:rsidR="00864116">
        <w:rPr>
          <w:rFonts w:ascii="Arial" w:hAnsi="Arial" w:cs="Arial"/>
          <w:iCs/>
          <w:sz w:val="22"/>
          <w:szCs w:val="22"/>
        </w:rPr>
        <w:t>.</w:t>
      </w:r>
      <w:r w:rsidR="00ED7C74">
        <w:rPr>
          <w:rFonts w:ascii="Arial" w:hAnsi="Arial" w:cs="Arial"/>
          <w:iCs/>
          <w:sz w:val="22"/>
          <w:szCs w:val="22"/>
        </w:rPr>
        <w:t xml:space="preserve"> </w:t>
      </w:r>
      <w:r w:rsidR="00D373C5">
        <w:rPr>
          <w:rFonts w:ascii="Arial" w:hAnsi="Arial" w:cs="Arial"/>
          <w:iCs/>
          <w:sz w:val="22"/>
          <w:szCs w:val="22"/>
        </w:rPr>
        <w:t>I</w:t>
      </w:r>
      <w:r w:rsidRPr="00F66509">
        <w:rPr>
          <w:rFonts w:ascii="Arial" w:hAnsi="Arial" w:cs="Arial"/>
          <w:iCs/>
          <w:sz w:val="22"/>
          <w:szCs w:val="22"/>
        </w:rPr>
        <w:t xml:space="preserve"> migranti afri</w:t>
      </w:r>
      <w:r w:rsidR="00D373C5">
        <w:rPr>
          <w:rFonts w:ascii="Arial" w:hAnsi="Arial" w:cs="Arial"/>
          <w:iCs/>
          <w:sz w:val="22"/>
          <w:szCs w:val="22"/>
        </w:rPr>
        <w:t>cani sono in maggioranza uomini (70%):</w:t>
      </w:r>
      <w:r w:rsidRPr="00F66509">
        <w:rPr>
          <w:rFonts w:ascii="Arial" w:hAnsi="Arial" w:cs="Arial"/>
          <w:iCs/>
          <w:sz w:val="22"/>
          <w:szCs w:val="22"/>
        </w:rPr>
        <w:t xml:space="preserve"> </w:t>
      </w:r>
      <w:r w:rsidR="00864116">
        <w:rPr>
          <w:rFonts w:ascii="Arial" w:hAnsi="Arial" w:cs="Arial"/>
          <w:iCs/>
          <w:sz w:val="22"/>
          <w:szCs w:val="22"/>
        </w:rPr>
        <w:t xml:space="preserve">considerando i singoli paesi, lo sono in </w:t>
      </w:r>
      <w:r w:rsidR="00726FD5">
        <w:rPr>
          <w:rFonts w:ascii="Arial" w:hAnsi="Arial" w:cs="Arial"/>
          <w:iCs/>
          <w:sz w:val="22"/>
          <w:szCs w:val="22"/>
        </w:rPr>
        <w:t xml:space="preserve">maniera </w:t>
      </w:r>
      <w:r w:rsidRPr="00F66509">
        <w:rPr>
          <w:rFonts w:ascii="Arial" w:hAnsi="Arial" w:cs="Arial"/>
          <w:iCs/>
          <w:sz w:val="22"/>
          <w:szCs w:val="22"/>
        </w:rPr>
        <w:t>quasi esclusiva</w:t>
      </w:r>
      <w:r w:rsidR="00726FD5">
        <w:rPr>
          <w:rFonts w:ascii="Arial" w:hAnsi="Arial" w:cs="Arial"/>
          <w:iCs/>
          <w:sz w:val="22"/>
          <w:szCs w:val="22"/>
        </w:rPr>
        <w:t xml:space="preserve"> </w:t>
      </w:r>
      <w:r w:rsidR="00864116">
        <w:rPr>
          <w:rFonts w:ascii="Arial" w:hAnsi="Arial" w:cs="Arial"/>
          <w:iCs/>
          <w:sz w:val="22"/>
          <w:szCs w:val="22"/>
        </w:rPr>
        <w:t>i</w:t>
      </w:r>
      <w:r w:rsidRPr="00F66509">
        <w:rPr>
          <w:rFonts w:ascii="Arial" w:hAnsi="Arial" w:cs="Arial"/>
          <w:iCs/>
          <w:sz w:val="22"/>
          <w:szCs w:val="22"/>
        </w:rPr>
        <w:t xml:space="preserve"> gambiani e maliani (98%), in larga maggioranza</w:t>
      </w:r>
      <w:r w:rsidR="00726FD5">
        <w:rPr>
          <w:rFonts w:ascii="Arial" w:hAnsi="Arial" w:cs="Arial"/>
          <w:iCs/>
          <w:sz w:val="22"/>
          <w:szCs w:val="22"/>
        </w:rPr>
        <w:t xml:space="preserve"> </w:t>
      </w:r>
      <w:r w:rsidR="00864116">
        <w:rPr>
          <w:rFonts w:ascii="Arial" w:hAnsi="Arial" w:cs="Arial"/>
          <w:iCs/>
          <w:sz w:val="22"/>
          <w:szCs w:val="22"/>
        </w:rPr>
        <w:t>i</w:t>
      </w:r>
      <w:r w:rsidR="00864116" w:rsidRPr="00F66509">
        <w:rPr>
          <w:rFonts w:ascii="Arial" w:hAnsi="Arial" w:cs="Arial"/>
          <w:iCs/>
          <w:sz w:val="22"/>
          <w:szCs w:val="22"/>
        </w:rPr>
        <w:t xml:space="preserve"> </w:t>
      </w:r>
      <w:r w:rsidRPr="00F66509">
        <w:rPr>
          <w:rFonts w:ascii="Arial" w:hAnsi="Arial" w:cs="Arial"/>
          <w:iCs/>
          <w:sz w:val="22"/>
          <w:szCs w:val="22"/>
        </w:rPr>
        <w:t>senegalesi e</w:t>
      </w:r>
      <w:r w:rsidR="00573D5B">
        <w:rPr>
          <w:rFonts w:ascii="Arial" w:hAnsi="Arial" w:cs="Arial"/>
          <w:iCs/>
          <w:sz w:val="22"/>
          <w:szCs w:val="22"/>
        </w:rPr>
        <w:t xml:space="preserve"> nigeriani (rispettivamente 82</w:t>
      </w:r>
      <w:r w:rsidRPr="00F66509">
        <w:rPr>
          <w:rFonts w:ascii="Arial" w:hAnsi="Arial" w:cs="Arial"/>
          <w:iCs/>
          <w:sz w:val="22"/>
          <w:szCs w:val="22"/>
        </w:rPr>
        <w:t xml:space="preserve">% e </w:t>
      </w:r>
      <w:r w:rsidR="00573D5B">
        <w:rPr>
          <w:rFonts w:ascii="Arial" w:hAnsi="Arial" w:cs="Arial"/>
          <w:iCs/>
          <w:sz w:val="22"/>
          <w:szCs w:val="22"/>
        </w:rPr>
        <w:t>67</w:t>
      </w:r>
      <w:r w:rsidRPr="00F66509">
        <w:rPr>
          <w:rFonts w:ascii="Arial" w:hAnsi="Arial" w:cs="Arial"/>
          <w:iCs/>
          <w:sz w:val="22"/>
          <w:szCs w:val="22"/>
        </w:rPr>
        <w:t xml:space="preserve">%). Fa eccezione, per il continente africano, il flusso di migranti marocchini che, nel 55% dei casi, è composto da donne. Anche le immigrazioni dei cittadini asiatici sono prevalentemente composte da uomini (oltre </w:t>
      </w:r>
      <w:r w:rsidR="00573D5B">
        <w:rPr>
          <w:rFonts w:ascii="Arial" w:hAnsi="Arial" w:cs="Arial"/>
          <w:iCs/>
          <w:sz w:val="22"/>
          <w:szCs w:val="22"/>
        </w:rPr>
        <w:t xml:space="preserve">il 75% </w:t>
      </w:r>
      <w:r w:rsidRPr="00F66509">
        <w:rPr>
          <w:rFonts w:ascii="Arial" w:hAnsi="Arial" w:cs="Arial"/>
          <w:iCs/>
          <w:sz w:val="22"/>
          <w:szCs w:val="22"/>
        </w:rPr>
        <w:t xml:space="preserve">delle iscrizioni dall’estero di bengalesi e pakistani). </w:t>
      </w:r>
    </w:p>
    <w:p w14:paraId="4D44CFFA" w14:textId="21D30027" w:rsidR="00864116" w:rsidRDefault="00864116" w:rsidP="00E81C75">
      <w:pPr>
        <w:spacing w:before="240"/>
        <w:jc w:val="both"/>
        <w:rPr>
          <w:rFonts w:ascii="Arial" w:hAnsi="Arial" w:cs="Arial"/>
          <w:iCs/>
          <w:sz w:val="22"/>
          <w:szCs w:val="22"/>
        </w:rPr>
      </w:pPr>
      <w:r>
        <w:rPr>
          <w:rFonts w:ascii="Arial" w:hAnsi="Arial" w:cs="Arial"/>
          <w:iCs/>
          <w:sz w:val="22"/>
          <w:szCs w:val="22"/>
        </w:rPr>
        <w:t>Nel 2018 o</w:t>
      </w:r>
      <w:r w:rsidRPr="00F66509">
        <w:rPr>
          <w:rFonts w:ascii="Arial" w:hAnsi="Arial" w:cs="Arial"/>
          <w:iCs/>
          <w:sz w:val="22"/>
          <w:szCs w:val="22"/>
        </w:rPr>
        <w:t>ltre la metà delle iscrizioni dall’estero si concentra nella fascia di età 18-</w:t>
      </w:r>
      <w:r>
        <w:rPr>
          <w:rFonts w:ascii="Arial" w:hAnsi="Arial" w:cs="Arial"/>
          <w:iCs/>
          <w:sz w:val="22"/>
          <w:szCs w:val="22"/>
        </w:rPr>
        <w:t>40</w:t>
      </w:r>
      <w:r w:rsidRPr="00F66509">
        <w:rPr>
          <w:rFonts w:ascii="Arial" w:hAnsi="Arial" w:cs="Arial"/>
          <w:iCs/>
          <w:sz w:val="22"/>
          <w:szCs w:val="22"/>
        </w:rPr>
        <w:t xml:space="preserve"> anni (</w:t>
      </w:r>
      <w:r>
        <w:rPr>
          <w:rFonts w:ascii="Arial" w:hAnsi="Arial" w:cs="Arial"/>
          <w:iCs/>
          <w:sz w:val="22"/>
          <w:szCs w:val="22"/>
        </w:rPr>
        <w:t>60</w:t>
      </w:r>
      <w:r w:rsidR="0098125E">
        <w:rPr>
          <w:rFonts w:ascii="Arial" w:hAnsi="Arial" w:cs="Arial"/>
          <w:iCs/>
          <w:sz w:val="22"/>
          <w:szCs w:val="22"/>
        </w:rPr>
        <w:t>%),</w:t>
      </w:r>
      <w:r w:rsidR="00C67F2A">
        <w:rPr>
          <w:rFonts w:ascii="Arial" w:hAnsi="Arial" w:cs="Arial"/>
          <w:iCs/>
          <w:sz w:val="22"/>
          <w:szCs w:val="22"/>
        </w:rPr>
        <w:t xml:space="preserve"> </w:t>
      </w:r>
      <w:r w:rsidR="00726FD5" w:rsidRPr="00F66509">
        <w:rPr>
          <w:rFonts w:ascii="Arial" w:hAnsi="Arial" w:cs="Arial"/>
          <w:iCs/>
          <w:sz w:val="22"/>
          <w:szCs w:val="22"/>
        </w:rPr>
        <w:t>l’età media</w:t>
      </w:r>
      <w:r w:rsidR="00726FD5">
        <w:rPr>
          <w:rFonts w:ascii="Arial" w:hAnsi="Arial" w:cs="Arial"/>
          <w:iCs/>
          <w:sz w:val="22"/>
          <w:szCs w:val="22"/>
        </w:rPr>
        <w:t xml:space="preserve"> delle donne immigrate è di 32,3</w:t>
      </w:r>
      <w:r w:rsidR="00726FD5" w:rsidRPr="00F66509">
        <w:rPr>
          <w:rFonts w:ascii="Arial" w:hAnsi="Arial" w:cs="Arial"/>
          <w:iCs/>
          <w:sz w:val="22"/>
          <w:szCs w:val="22"/>
        </w:rPr>
        <w:t xml:space="preserve"> anni contro 28,</w:t>
      </w:r>
      <w:r w:rsidR="00726FD5">
        <w:rPr>
          <w:rFonts w:ascii="Arial" w:hAnsi="Arial" w:cs="Arial"/>
          <w:iCs/>
          <w:sz w:val="22"/>
          <w:szCs w:val="22"/>
        </w:rPr>
        <w:t>7</w:t>
      </w:r>
      <w:r w:rsidR="00726FD5" w:rsidRPr="00F66509">
        <w:rPr>
          <w:rFonts w:ascii="Arial" w:hAnsi="Arial" w:cs="Arial"/>
          <w:iCs/>
          <w:sz w:val="22"/>
          <w:szCs w:val="22"/>
        </w:rPr>
        <w:t xml:space="preserve"> degli uomini. </w:t>
      </w:r>
    </w:p>
    <w:p w14:paraId="63E6951C" w14:textId="4EAEB730" w:rsidR="0034420A" w:rsidRDefault="00726FD5" w:rsidP="00E81C75">
      <w:pPr>
        <w:spacing w:before="240"/>
        <w:jc w:val="both"/>
        <w:rPr>
          <w:rFonts w:ascii="Arial" w:hAnsi="Arial" w:cs="Arial"/>
          <w:iCs/>
          <w:sz w:val="22"/>
          <w:szCs w:val="22"/>
        </w:rPr>
      </w:pPr>
      <w:r w:rsidRPr="00F66509">
        <w:rPr>
          <w:rFonts w:ascii="Arial" w:hAnsi="Arial" w:cs="Arial"/>
          <w:iCs/>
          <w:sz w:val="22"/>
          <w:szCs w:val="22"/>
        </w:rPr>
        <w:t>Sotto i 40 anni gli uomini sono più numerosi delle donne (rispettivamente,</w:t>
      </w:r>
      <w:r>
        <w:rPr>
          <w:rFonts w:ascii="Arial" w:hAnsi="Arial" w:cs="Arial"/>
          <w:iCs/>
          <w:sz w:val="22"/>
          <w:szCs w:val="22"/>
        </w:rPr>
        <w:t xml:space="preserve"> 45</w:t>
      </w:r>
      <w:r w:rsidRPr="00F66509">
        <w:rPr>
          <w:rFonts w:ascii="Arial" w:hAnsi="Arial" w:cs="Arial"/>
          <w:iCs/>
          <w:sz w:val="22"/>
          <w:szCs w:val="22"/>
        </w:rPr>
        <w:t xml:space="preserve">% e </w:t>
      </w:r>
      <w:r>
        <w:rPr>
          <w:rFonts w:ascii="Arial" w:hAnsi="Arial" w:cs="Arial"/>
          <w:iCs/>
          <w:sz w:val="22"/>
          <w:szCs w:val="22"/>
        </w:rPr>
        <w:t>31</w:t>
      </w:r>
      <w:r w:rsidRPr="00F66509">
        <w:rPr>
          <w:rFonts w:ascii="Arial" w:hAnsi="Arial" w:cs="Arial"/>
          <w:iCs/>
          <w:sz w:val="22"/>
          <w:szCs w:val="22"/>
        </w:rPr>
        <w:t>% sul totale degli iscritti dall’estero) mentre nelle classi di età più mature (40 anni e oltre) accade il contrari</w:t>
      </w:r>
      <w:r>
        <w:rPr>
          <w:rFonts w:ascii="Arial" w:hAnsi="Arial" w:cs="Arial"/>
          <w:iCs/>
          <w:sz w:val="22"/>
          <w:szCs w:val="22"/>
        </w:rPr>
        <w:t xml:space="preserve">o (10% uomini contro 13% donne). </w:t>
      </w:r>
    </w:p>
    <w:p w14:paraId="1FF339E7" w14:textId="1FB69A82" w:rsidR="00917563" w:rsidRDefault="00091EAE" w:rsidP="00091EAE">
      <w:pPr>
        <w:spacing w:before="240"/>
        <w:jc w:val="both"/>
        <w:rPr>
          <w:rFonts w:ascii="Arial" w:hAnsi="Arial" w:cs="Arial"/>
          <w:iCs/>
          <w:sz w:val="22"/>
          <w:szCs w:val="22"/>
        </w:rPr>
      </w:pPr>
      <w:r>
        <w:rPr>
          <w:rFonts w:ascii="Arial" w:hAnsi="Arial" w:cs="Arial"/>
          <w:iCs/>
          <w:sz w:val="22"/>
          <w:szCs w:val="22"/>
        </w:rPr>
        <w:t>Anche l</w:t>
      </w:r>
      <w:r w:rsidRPr="00F66509">
        <w:rPr>
          <w:rFonts w:ascii="Arial" w:hAnsi="Arial" w:cs="Arial"/>
          <w:iCs/>
          <w:sz w:val="22"/>
          <w:szCs w:val="22"/>
        </w:rPr>
        <w:t>’età media della popolazione migrante</w:t>
      </w:r>
      <w:r>
        <w:rPr>
          <w:rFonts w:ascii="Arial" w:hAnsi="Arial" w:cs="Arial"/>
          <w:iCs/>
          <w:sz w:val="22"/>
          <w:szCs w:val="22"/>
        </w:rPr>
        <w:t xml:space="preserve">, così come il genere, </w:t>
      </w:r>
      <w:r w:rsidRPr="00F66509">
        <w:rPr>
          <w:rFonts w:ascii="Arial" w:hAnsi="Arial" w:cs="Arial"/>
          <w:iCs/>
          <w:sz w:val="22"/>
          <w:szCs w:val="22"/>
        </w:rPr>
        <w:t xml:space="preserve">cambia in base alla cittadinanza. I più giovani sono gli </w:t>
      </w:r>
      <w:r>
        <w:rPr>
          <w:rFonts w:ascii="Arial" w:hAnsi="Arial" w:cs="Arial"/>
          <w:iCs/>
          <w:sz w:val="22"/>
          <w:szCs w:val="22"/>
        </w:rPr>
        <w:t>immigrati africani (età media 25,4</w:t>
      </w:r>
      <w:r w:rsidRPr="00F66509">
        <w:rPr>
          <w:rFonts w:ascii="Arial" w:hAnsi="Arial" w:cs="Arial"/>
          <w:iCs/>
          <w:sz w:val="22"/>
          <w:szCs w:val="22"/>
        </w:rPr>
        <w:t xml:space="preserve"> a</w:t>
      </w:r>
      <w:r>
        <w:rPr>
          <w:rFonts w:ascii="Arial" w:hAnsi="Arial" w:cs="Arial"/>
          <w:iCs/>
          <w:sz w:val="22"/>
          <w:szCs w:val="22"/>
        </w:rPr>
        <w:t xml:space="preserve">nni), seguiti dagli asiatici (27 anni). </w:t>
      </w:r>
      <w:r w:rsidRPr="00F66509">
        <w:rPr>
          <w:rFonts w:ascii="Arial" w:hAnsi="Arial" w:cs="Arial"/>
          <w:iCs/>
          <w:sz w:val="22"/>
          <w:szCs w:val="22"/>
        </w:rPr>
        <w:t xml:space="preserve">L’età media più elevata, invece, si osserva nei flussi in ingresso dei cittadini </w:t>
      </w:r>
      <w:r>
        <w:rPr>
          <w:rFonts w:ascii="Arial" w:hAnsi="Arial" w:cs="Arial"/>
          <w:iCs/>
          <w:sz w:val="22"/>
          <w:szCs w:val="22"/>
        </w:rPr>
        <w:t xml:space="preserve">europei e degli immigrati </w:t>
      </w:r>
      <w:r w:rsidRPr="00F66509">
        <w:rPr>
          <w:rFonts w:ascii="Arial" w:hAnsi="Arial" w:cs="Arial"/>
          <w:iCs/>
          <w:sz w:val="22"/>
          <w:szCs w:val="22"/>
        </w:rPr>
        <w:t xml:space="preserve">americani </w:t>
      </w:r>
      <w:r>
        <w:rPr>
          <w:rFonts w:ascii="Arial" w:hAnsi="Arial" w:cs="Arial"/>
          <w:iCs/>
          <w:sz w:val="22"/>
          <w:szCs w:val="22"/>
        </w:rPr>
        <w:t xml:space="preserve">e dell’Oceania </w:t>
      </w:r>
      <w:r w:rsidRPr="00F66509">
        <w:rPr>
          <w:rFonts w:ascii="Arial" w:hAnsi="Arial" w:cs="Arial"/>
          <w:iCs/>
          <w:sz w:val="22"/>
          <w:szCs w:val="22"/>
        </w:rPr>
        <w:t>(</w:t>
      </w:r>
      <w:r>
        <w:rPr>
          <w:rFonts w:ascii="Arial" w:hAnsi="Arial" w:cs="Arial"/>
          <w:iCs/>
          <w:sz w:val="22"/>
          <w:szCs w:val="22"/>
        </w:rPr>
        <w:t xml:space="preserve">rispettivamente 33,2 e 33,5 </w:t>
      </w:r>
      <w:r w:rsidRPr="00F66509">
        <w:rPr>
          <w:rFonts w:ascii="Arial" w:hAnsi="Arial" w:cs="Arial"/>
          <w:iCs/>
          <w:sz w:val="22"/>
          <w:szCs w:val="22"/>
        </w:rPr>
        <w:t>anni)</w:t>
      </w:r>
      <w:r>
        <w:rPr>
          <w:rFonts w:ascii="Arial" w:hAnsi="Arial" w:cs="Arial"/>
          <w:iCs/>
          <w:sz w:val="22"/>
          <w:szCs w:val="22"/>
        </w:rPr>
        <w:t xml:space="preserve"> (Figura </w:t>
      </w:r>
      <w:r w:rsidR="004E4D34">
        <w:rPr>
          <w:rFonts w:ascii="Arial" w:hAnsi="Arial" w:cs="Arial"/>
          <w:iCs/>
          <w:sz w:val="22"/>
          <w:szCs w:val="22"/>
        </w:rPr>
        <w:t>5</w:t>
      </w:r>
      <w:r>
        <w:rPr>
          <w:rFonts w:ascii="Arial" w:hAnsi="Arial" w:cs="Arial"/>
          <w:iCs/>
          <w:sz w:val="22"/>
          <w:szCs w:val="22"/>
        </w:rPr>
        <w:t>)</w:t>
      </w:r>
      <w:r w:rsidRPr="00F66509">
        <w:rPr>
          <w:rFonts w:ascii="Arial" w:hAnsi="Arial" w:cs="Arial"/>
          <w:iCs/>
          <w:sz w:val="22"/>
          <w:szCs w:val="22"/>
        </w:rPr>
        <w:t>.</w:t>
      </w:r>
    </w:p>
    <w:p w14:paraId="4F32FC4E" w14:textId="77777777" w:rsidR="00610B44" w:rsidRDefault="00610B44" w:rsidP="00091EAE">
      <w:pPr>
        <w:spacing w:before="240"/>
        <w:jc w:val="both"/>
        <w:rPr>
          <w:rFonts w:ascii="Arial" w:hAnsi="Arial" w:cs="Arial"/>
          <w:iCs/>
          <w:sz w:val="22"/>
          <w:szCs w:val="22"/>
        </w:rPr>
      </w:pPr>
    </w:p>
    <w:p w14:paraId="7206241C" w14:textId="77777777" w:rsidR="00610B44" w:rsidRDefault="00610B44" w:rsidP="00091EAE">
      <w:pPr>
        <w:spacing w:before="240"/>
        <w:jc w:val="both"/>
        <w:rPr>
          <w:rFonts w:ascii="Arial" w:hAnsi="Arial" w:cs="Arial"/>
          <w:iCs/>
          <w:sz w:val="22"/>
          <w:szCs w:val="22"/>
        </w:rPr>
      </w:pPr>
    </w:p>
    <w:p w14:paraId="70A435F6" w14:textId="77777777" w:rsidR="00610B44" w:rsidRDefault="00610B44" w:rsidP="00091EAE">
      <w:pPr>
        <w:spacing w:before="240"/>
        <w:jc w:val="both"/>
        <w:rPr>
          <w:rFonts w:ascii="Arial" w:hAnsi="Arial" w:cs="Arial"/>
          <w:iCs/>
          <w:sz w:val="22"/>
          <w:szCs w:val="22"/>
        </w:rPr>
      </w:pPr>
    </w:p>
    <w:p w14:paraId="66B71EDE" w14:textId="6C33DD2E" w:rsidR="00610B44" w:rsidRDefault="00610B44" w:rsidP="00091EAE">
      <w:pPr>
        <w:spacing w:before="240"/>
        <w:jc w:val="both"/>
        <w:rPr>
          <w:rFonts w:ascii="Arial" w:hAnsi="Arial" w:cs="Arial"/>
          <w:iCs/>
          <w:sz w:val="22"/>
          <w:szCs w:val="22"/>
        </w:rPr>
      </w:pPr>
    </w:p>
    <w:p w14:paraId="1A281845" w14:textId="77777777" w:rsidR="00610B44" w:rsidRDefault="00610B44" w:rsidP="00091EAE">
      <w:pPr>
        <w:spacing w:before="240"/>
        <w:jc w:val="both"/>
        <w:rPr>
          <w:rFonts w:ascii="Arial" w:hAnsi="Arial" w:cs="Arial"/>
          <w:iCs/>
          <w:sz w:val="22"/>
          <w:szCs w:val="22"/>
        </w:rPr>
      </w:pPr>
    </w:p>
    <w:p w14:paraId="0F37DEF1" w14:textId="77777777" w:rsidR="00610B44" w:rsidRDefault="00610B44" w:rsidP="00091EAE">
      <w:pPr>
        <w:spacing w:before="240"/>
        <w:jc w:val="both"/>
        <w:rPr>
          <w:rFonts w:ascii="Arial" w:hAnsi="Arial" w:cs="Arial"/>
          <w:iCs/>
          <w:sz w:val="22"/>
          <w:szCs w:val="22"/>
        </w:rPr>
      </w:pPr>
    </w:p>
    <w:p w14:paraId="6D708F27" w14:textId="77777777" w:rsidR="00610B44" w:rsidRDefault="00610B44" w:rsidP="00091EAE">
      <w:pPr>
        <w:spacing w:before="240"/>
        <w:jc w:val="both"/>
        <w:rPr>
          <w:rFonts w:ascii="Arial" w:hAnsi="Arial" w:cs="Arial"/>
          <w:iCs/>
          <w:sz w:val="22"/>
          <w:szCs w:val="22"/>
        </w:rPr>
      </w:pPr>
    </w:p>
    <w:p w14:paraId="70CC5D29" w14:textId="77777777" w:rsidR="00610B44" w:rsidRDefault="00610B44" w:rsidP="00091EAE">
      <w:pPr>
        <w:spacing w:before="240"/>
        <w:jc w:val="both"/>
        <w:rPr>
          <w:rFonts w:ascii="Arial" w:hAnsi="Arial" w:cs="Arial"/>
          <w:sz w:val="22"/>
          <w:szCs w:val="22"/>
        </w:rPr>
      </w:pPr>
    </w:p>
    <w:p w14:paraId="60C27679" w14:textId="77777777" w:rsidR="00610B44" w:rsidRPr="009718E2" w:rsidRDefault="00610B44" w:rsidP="00962E7F">
      <w:pPr>
        <w:rPr>
          <w:rFonts w:ascii="Arial Black" w:hAnsi="Arial Black" w:cs="Arial"/>
          <w:iCs/>
          <w:noProof/>
          <w:color w:val="1F497D" w:themeColor="text2"/>
          <w:sz w:val="36"/>
          <w:szCs w:val="22"/>
        </w:rPr>
      </w:pPr>
    </w:p>
    <w:p w14:paraId="6C6C389D" w14:textId="5D831419" w:rsidR="00962E7F" w:rsidRDefault="00962E7F" w:rsidP="00962E7F">
      <w:pPr>
        <w:rPr>
          <w:rFonts w:ascii="Arial Narrow" w:hAnsi="Arial Narrow" w:cs="Arial"/>
          <w:iCs/>
          <w:noProof/>
          <w:color w:val="1F497D" w:themeColor="text2"/>
          <w:sz w:val="22"/>
          <w:szCs w:val="22"/>
        </w:rPr>
      </w:pPr>
      <w:r w:rsidRPr="005D02DA">
        <w:rPr>
          <w:rFonts w:ascii="Arial Black" w:hAnsi="Arial Black" w:cs="Arial"/>
          <w:iCs/>
          <w:noProof/>
          <w:color w:val="1F497D" w:themeColor="text2"/>
          <w:sz w:val="22"/>
          <w:szCs w:val="22"/>
        </w:rPr>
        <w:t xml:space="preserve">FIGURA </w:t>
      </w:r>
      <w:r w:rsidR="004E4D34">
        <w:rPr>
          <w:rFonts w:ascii="Arial Black" w:hAnsi="Arial Black" w:cs="Arial"/>
          <w:iCs/>
          <w:noProof/>
          <w:color w:val="1F497D" w:themeColor="text2"/>
          <w:sz w:val="22"/>
          <w:szCs w:val="22"/>
        </w:rPr>
        <w:t>5</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Pr>
          <w:rFonts w:ascii="Arial Narrow" w:hAnsi="Arial Narrow" w:cs="Arial"/>
          <w:b/>
          <w:iCs/>
          <w:noProof/>
          <w:color w:val="1F497D" w:themeColor="text2"/>
          <w:sz w:val="22"/>
          <w:szCs w:val="22"/>
        </w:rPr>
        <w:t>ISCRIZIONI ANAGRAFICHE DALL’ESTERO, PER</w:t>
      </w:r>
      <w:r w:rsidR="00185A19">
        <w:rPr>
          <w:rFonts w:ascii="Arial Narrow" w:hAnsi="Arial Narrow" w:cs="Arial"/>
          <w:b/>
          <w:iCs/>
          <w:noProof/>
          <w:color w:val="1F497D" w:themeColor="text2"/>
          <w:sz w:val="22"/>
          <w:szCs w:val="22"/>
        </w:rPr>
        <w:t xml:space="preserve"> </w:t>
      </w:r>
      <w:r w:rsidR="004E4D34">
        <w:rPr>
          <w:rFonts w:ascii="Arial Narrow" w:hAnsi="Arial Narrow" w:cs="Arial"/>
          <w:b/>
          <w:iCs/>
          <w:noProof/>
          <w:color w:val="1F497D" w:themeColor="text2"/>
          <w:sz w:val="22"/>
          <w:szCs w:val="22"/>
        </w:rPr>
        <w:t>GENERE</w:t>
      </w:r>
      <w:r w:rsidR="00ED7C74">
        <w:rPr>
          <w:rFonts w:ascii="Arial Narrow" w:hAnsi="Arial Narrow" w:cs="Arial"/>
          <w:b/>
          <w:iCs/>
          <w:noProof/>
          <w:color w:val="1F497D" w:themeColor="text2"/>
          <w:sz w:val="22"/>
          <w:szCs w:val="22"/>
        </w:rPr>
        <w:t xml:space="preserve">, </w:t>
      </w:r>
      <w:r>
        <w:rPr>
          <w:rFonts w:ascii="Arial Narrow" w:hAnsi="Arial Narrow" w:cs="Arial"/>
          <w:b/>
          <w:iCs/>
          <w:noProof/>
          <w:color w:val="1F497D" w:themeColor="text2"/>
          <w:sz w:val="22"/>
          <w:szCs w:val="22"/>
        </w:rPr>
        <w:t>ETA’ E CONTINENTE DI ORIGINE</w:t>
      </w:r>
      <w:r w:rsidRPr="003F4D0E">
        <w:rPr>
          <w:rFonts w:ascii="Arial Narrow" w:hAnsi="Arial Narrow" w:cs="Arial"/>
          <w:b/>
          <w:iCs/>
          <w:noProof/>
          <w:color w:val="1F497D" w:themeColor="text2"/>
          <w:sz w:val="22"/>
          <w:szCs w:val="22"/>
        </w:rPr>
        <w:t xml:space="preserve">. </w:t>
      </w:r>
      <w:r w:rsidR="00D2095D">
        <w:rPr>
          <w:rFonts w:ascii="Arial Narrow" w:hAnsi="Arial Narrow" w:cs="Arial"/>
          <w:iCs/>
          <w:noProof/>
          <w:color w:val="1F497D" w:themeColor="text2"/>
          <w:sz w:val="22"/>
          <w:szCs w:val="22"/>
        </w:rPr>
        <w:t>Anno 2018</w:t>
      </w:r>
      <w:r w:rsidRPr="003F4D0E">
        <w:rPr>
          <w:rFonts w:ascii="Arial Narrow" w:hAnsi="Arial Narrow" w:cs="Arial"/>
          <w:iCs/>
          <w:noProof/>
          <w:color w:val="1F497D" w:themeColor="text2"/>
          <w:sz w:val="22"/>
          <w:szCs w:val="22"/>
        </w:rPr>
        <w:t>, valori percentuali</w:t>
      </w:r>
    </w:p>
    <w:p w14:paraId="587D947B" w14:textId="77777777" w:rsidR="001A52EE" w:rsidRPr="009718E2" w:rsidRDefault="001A52EE" w:rsidP="00962E7F">
      <w:pPr>
        <w:rPr>
          <w:rFonts w:ascii="Arial Narrow" w:hAnsi="Arial Narrow" w:cs="Arial"/>
          <w:iCs/>
          <w:noProof/>
          <w:color w:val="1F497D" w:themeColor="text2"/>
          <w:sz w:val="14"/>
          <w:szCs w:val="22"/>
        </w:rPr>
      </w:pP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064"/>
        <w:gridCol w:w="5036"/>
      </w:tblGrid>
      <w:tr w:rsidR="00670F7C" w14:paraId="731A20AD" w14:textId="77777777" w:rsidTr="009718E2">
        <w:trPr>
          <w:trHeight w:val="1860"/>
        </w:trPr>
        <w:tc>
          <w:tcPr>
            <w:tcW w:w="5016" w:type="dxa"/>
          </w:tcPr>
          <w:p w14:paraId="139EB5C9" w14:textId="7B8D1069" w:rsidR="00670F7C" w:rsidRDefault="00670F7C" w:rsidP="00962E7F">
            <w:pPr>
              <w:rPr>
                <w:rFonts w:ascii="Arial Narrow" w:hAnsi="Arial Narrow" w:cs="Arial"/>
                <w:iCs/>
                <w:noProof/>
                <w:color w:val="1F497D" w:themeColor="text2"/>
                <w:sz w:val="22"/>
                <w:szCs w:val="22"/>
              </w:rPr>
            </w:pPr>
            <w:r>
              <w:rPr>
                <w:noProof/>
              </w:rPr>
              <w:drawing>
                <wp:inline distT="0" distB="0" distL="0" distR="0" wp14:anchorId="6DBB9556" wp14:editId="0888D3BF">
                  <wp:extent cx="3185232" cy="1178753"/>
                  <wp:effectExtent l="0" t="0" r="0" b="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84" w:type="dxa"/>
          </w:tcPr>
          <w:p w14:paraId="4AB09392" w14:textId="74EAC159" w:rsidR="00670F7C" w:rsidRDefault="00670F7C" w:rsidP="00962E7F">
            <w:pPr>
              <w:rPr>
                <w:rFonts w:ascii="Arial Narrow" w:hAnsi="Arial Narrow" w:cs="Arial"/>
                <w:iCs/>
                <w:noProof/>
                <w:color w:val="1F497D" w:themeColor="text2"/>
                <w:sz w:val="22"/>
                <w:szCs w:val="22"/>
              </w:rPr>
            </w:pPr>
            <w:r>
              <w:rPr>
                <w:noProof/>
              </w:rPr>
              <w:drawing>
                <wp:inline distT="0" distB="0" distL="0" distR="0" wp14:anchorId="6D086AD7" wp14:editId="408899D6">
                  <wp:extent cx="3167898" cy="1178753"/>
                  <wp:effectExtent l="0" t="0" r="0" b="0"/>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70F7C" w14:paraId="43D5A9C0" w14:textId="77777777" w:rsidTr="009718E2">
        <w:trPr>
          <w:trHeight w:val="1942"/>
        </w:trPr>
        <w:tc>
          <w:tcPr>
            <w:tcW w:w="5016" w:type="dxa"/>
          </w:tcPr>
          <w:p w14:paraId="4C64887B" w14:textId="55682D67" w:rsidR="00670F7C" w:rsidRDefault="00670F7C" w:rsidP="00962E7F">
            <w:pPr>
              <w:rPr>
                <w:rFonts w:ascii="Arial Narrow" w:hAnsi="Arial Narrow" w:cs="Arial"/>
                <w:iCs/>
                <w:noProof/>
                <w:color w:val="1F497D" w:themeColor="text2"/>
                <w:sz w:val="22"/>
                <w:szCs w:val="22"/>
              </w:rPr>
            </w:pPr>
            <w:r>
              <w:rPr>
                <w:noProof/>
              </w:rPr>
              <w:drawing>
                <wp:inline distT="0" distB="0" distL="0" distR="0" wp14:anchorId="18A2A3D5" wp14:editId="0430004F">
                  <wp:extent cx="3159230" cy="1144083"/>
                  <wp:effectExtent l="0" t="0" r="0" b="0"/>
                  <wp:docPr id="33" name="Gra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84" w:type="dxa"/>
          </w:tcPr>
          <w:p w14:paraId="47D4A549" w14:textId="0B6E954B" w:rsidR="00670F7C" w:rsidRDefault="00670F7C" w:rsidP="00962E7F">
            <w:pPr>
              <w:rPr>
                <w:rFonts w:ascii="Arial Narrow" w:hAnsi="Arial Narrow" w:cs="Arial"/>
                <w:iCs/>
                <w:noProof/>
                <w:color w:val="1F497D" w:themeColor="text2"/>
                <w:sz w:val="22"/>
                <w:szCs w:val="22"/>
              </w:rPr>
            </w:pPr>
            <w:r>
              <w:rPr>
                <w:noProof/>
              </w:rPr>
              <w:drawing>
                <wp:inline distT="0" distB="0" distL="0" distR="0" wp14:anchorId="2C6222E2" wp14:editId="538276FD">
                  <wp:extent cx="3115894" cy="1144083"/>
                  <wp:effectExtent l="0" t="0" r="0" b="0"/>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1EF3343" w14:textId="77777777" w:rsidR="00610B44" w:rsidRDefault="00610B44" w:rsidP="00962E7F">
      <w:pPr>
        <w:rPr>
          <w:rFonts w:ascii="Arial Narrow" w:hAnsi="Arial Narrow" w:cs="Arial"/>
          <w:iCs/>
          <w:noProof/>
          <w:color w:val="1F497D" w:themeColor="text2"/>
          <w:sz w:val="22"/>
          <w:szCs w:val="22"/>
        </w:rPr>
      </w:pPr>
    </w:p>
    <w:p w14:paraId="7144659E" w14:textId="2A48BD74" w:rsidR="00F66509" w:rsidRDefault="00610B44" w:rsidP="00374F44">
      <w:pPr>
        <w:spacing w:after="120"/>
        <w:jc w:val="both"/>
        <w:outlineLvl w:val="0"/>
        <w:rPr>
          <w:rFonts w:ascii="Arial" w:hAnsi="Arial" w:cs="Arial"/>
          <w:b/>
          <w:iCs/>
          <w:color w:val="1F497D" w:themeColor="text2"/>
          <w:sz w:val="26"/>
          <w:szCs w:val="26"/>
        </w:rPr>
      </w:pPr>
      <w:r>
        <w:rPr>
          <w:rFonts w:ascii="Arial" w:hAnsi="Arial" w:cs="Arial"/>
          <w:b/>
          <w:iCs/>
          <w:color w:val="1F497D" w:themeColor="text2"/>
          <w:sz w:val="26"/>
          <w:szCs w:val="26"/>
        </w:rPr>
        <w:t>In lieve aumento il numero de</w:t>
      </w:r>
      <w:r w:rsidR="00F66509" w:rsidRPr="00F66509">
        <w:rPr>
          <w:rFonts w:ascii="Arial" w:hAnsi="Arial" w:cs="Arial"/>
          <w:b/>
          <w:iCs/>
          <w:color w:val="1F497D" w:themeColor="text2"/>
          <w:sz w:val="26"/>
          <w:szCs w:val="26"/>
        </w:rPr>
        <w:t xml:space="preserve">i trasferimenti di residenza interni </w:t>
      </w:r>
    </w:p>
    <w:p w14:paraId="48224D46" w14:textId="77777777" w:rsidR="0098125E" w:rsidRDefault="00F66509" w:rsidP="00F66509">
      <w:pPr>
        <w:spacing w:after="120"/>
        <w:jc w:val="both"/>
        <w:outlineLvl w:val="0"/>
        <w:rPr>
          <w:rFonts w:ascii="Arial" w:hAnsi="Arial" w:cs="Arial"/>
          <w:iCs/>
          <w:sz w:val="22"/>
          <w:szCs w:val="22"/>
        </w:rPr>
      </w:pPr>
      <w:r w:rsidRPr="00F66509">
        <w:rPr>
          <w:rFonts w:ascii="Arial" w:hAnsi="Arial" w:cs="Arial"/>
          <w:iCs/>
          <w:sz w:val="22"/>
          <w:szCs w:val="22"/>
        </w:rPr>
        <w:t xml:space="preserve">Per migrazione interna si intende l’insieme dei trasferimenti di residenza entro i confini nazionali. </w:t>
      </w:r>
    </w:p>
    <w:p w14:paraId="67FB4366" w14:textId="1A8C8922" w:rsidR="00511D91" w:rsidRDefault="00526DA3" w:rsidP="00F66509">
      <w:pPr>
        <w:spacing w:after="120"/>
        <w:jc w:val="both"/>
        <w:outlineLvl w:val="0"/>
        <w:rPr>
          <w:rFonts w:ascii="Arial" w:hAnsi="Arial" w:cs="Arial"/>
          <w:iCs/>
          <w:sz w:val="22"/>
          <w:szCs w:val="22"/>
        </w:rPr>
      </w:pPr>
      <w:r w:rsidRPr="00526DA3">
        <w:rPr>
          <w:rFonts w:ascii="Arial" w:hAnsi="Arial" w:cs="Arial"/>
          <w:iCs/>
          <w:sz w:val="22"/>
          <w:szCs w:val="22"/>
        </w:rPr>
        <w:t>Le migrazioni interne comprendono i movimenti di persone che si spostano tra comuni appartenenti a regioni diverse (</w:t>
      </w:r>
      <w:r w:rsidRPr="00526DA3">
        <w:rPr>
          <w:rFonts w:ascii="Arial" w:hAnsi="Arial" w:cs="Arial"/>
          <w:i/>
          <w:iCs/>
          <w:sz w:val="22"/>
          <w:szCs w:val="22"/>
        </w:rPr>
        <w:t>interregionale</w:t>
      </w:r>
      <w:r w:rsidR="005F3AC6">
        <w:rPr>
          <w:rFonts w:ascii="Arial" w:hAnsi="Arial" w:cs="Arial"/>
          <w:iCs/>
          <w:sz w:val="22"/>
          <w:szCs w:val="22"/>
        </w:rPr>
        <w:t xml:space="preserve">) </w:t>
      </w:r>
      <w:r w:rsidRPr="00526DA3">
        <w:rPr>
          <w:rFonts w:ascii="Arial" w:hAnsi="Arial" w:cs="Arial"/>
          <w:iCs/>
          <w:sz w:val="22"/>
          <w:szCs w:val="22"/>
        </w:rPr>
        <w:t>e tra comuni all’interno della stessa regione (</w:t>
      </w:r>
      <w:r w:rsidRPr="00526DA3">
        <w:rPr>
          <w:rFonts w:ascii="Arial" w:hAnsi="Arial" w:cs="Arial"/>
          <w:i/>
          <w:iCs/>
          <w:sz w:val="22"/>
          <w:szCs w:val="22"/>
        </w:rPr>
        <w:t>intraregionale</w:t>
      </w:r>
      <w:r w:rsidRPr="00526DA3">
        <w:rPr>
          <w:rFonts w:ascii="Arial" w:hAnsi="Arial" w:cs="Arial"/>
          <w:iCs/>
          <w:sz w:val="22"/>
          <w:szCs w:val="22"/>
        </w:rPr>
        <w:t>)</w:t>
      </w:r>
      <w:r>
        <w:rPr>
          <w:rFonts w:ascii="Arial" w:hAnsi="Arial" w:cs="Arial"/>
          <w:iCs/>
          <w:sz w:val="22"/>
          <w:szCs w:val="22"/>
        </w:rPr>
        <w:t xml:space="preserve">. </w:t>
      </w:r>
      <w:r w:rsidR="00012685">
        <w:rPr>
          <w:rFonts w:ascii="Arial" w:hAnsi="Arial" w:cs="Arial"/>
          <w:iCs/>
          <w:sz w:val="22"/>
          <w:szCs w:val="22"/>
        </w:rPr>
        <w:t>Nell’ultimo decennio</w:t>
      </w:r>
      <w:r w:rsidR="00F66509" w:rsidRPr="00F66509">
        <w:rPr>
          <w:rFonts w:ascii="Arial" w:hAnsi="Arial" w:cs="Arial"/>
          <w:iCs/>
          <w:sz w:val="22"/>
          <w:szCs w:val="22"/>
        </w:rPr>
        <w:t xml:space="preserve"> l’andamento della mobilità interna è stabile</w:t>
      </w:r>
      <w:r w:rsidR="00A9170D">
        <w:rPr>
          <w:rFonts w:ascii="Arial" w:hAnsi="Arial" w:cs="Arial"/>
          <w:iCs/>
          <w:sz w:val="22"/>
          <w:szCs w:val="22"/>
        </w:rPr>
        <w:t xml:space="preserve"> sia nella componente interregionale sia in quella intraregionale. I tassi di migratorietà dal 2009 al 2018 sono pressoché costanti: sono mediamente più di cinque </w:t>
      </w:r>
      <w:r w:rsidR="00124DCB">
        <w:rPr>
          <w:rFonts w:ascii="Arial" w:hAnsi="Arial" w:cs="Arial"/>
          <w:iCs/>
          <w:sz w:val="22"/>
          <w:szCs w:val="22"/>
        </w:rPr>
        <w:t>ogni</w:t>
      </w:r>
      <w:r w:rsidR="00A9170D">
        <w:rPr>
          <w:rFonts w:ascii="Arial" w:hAnsi="Arial" w:cs="Arial"/>
          <w:iCs/>
          <w:sz w:val="22"/>
          <w:szCs w:val="22"/>
        </w:rPr>
        <w:t xml:space="preserve"> </w:t>
      </w:r>
      <w:r w:rsidR="00E81C75">
        <w:rPr>
          <w:rFonts w:ascii="Arial" w:hAnsi="Arial" w:cs="Arial"/>
          <w:iCs/>
          <w:sz w:val="22"/>
          <w:szCs w:val="22"/>
        </w:rPr>
        <w:t>1.000</w:t>
      </w:r>
      <w:r w:rsidR="00A9170D">
        <w:rPr>
          <w:rFonts w:ascii="Arial" w:hAnsi="Arial" w:cs="Arial"/>
          <w:iCs/>
          <w:sz w:val="22"/>
          <w:szCs w:val="22"/>
        </w:rPr>
        <w:t xml:space="preserve"> residenti c</w:t>
      </w:r>
      <w:r w:rsidR="00124DCB">
        <w:rPr>
          <w:rFonts w:ascii="Arial" w:hAnsi="Arial" w:cs="Arial"/>
          <w:iCs/>
          <w:sz w:val="22"/>
          <w:szCs w:val="22"/>
        </w:rPr>
        <w:t>oloro che</w:t>
      </w:r>
      <w:r w:rsidR="00A9170D">
        <w:rPr>
          <w:rFonts w:ascii="Arial" w:hAnsi="Arial" w:cs="Arial"/>
          <w:iCs/>
          <w:sz w:val="22"/>
          <w:szCs w:val="22"/>
        </w:rPr>
        <w:t xml:space="preserve"> si sposta</w:t>
      </w:r>
      <w:r w:rsidR="00124DCB">
        <w:rPr>
          <w:rFonts w:ascii="Arial" w:hAnsi="Arial" w:cs="Arial"/>
          <w:iCs/>
          <w:sz w:val="22"/>
          <w:szCs w:val="22"/>
        </w:rPr>
        <w:t>no</w:t>
      </w:r>
      <w:r w:rsidR="00A9170D">
        <w:rPr>
          <w:rFonts w:ascii="Arial" w:hAnsi="Arial" w:cs="Arial"/>
          <w:iCs/>
          <w:sz w:val="22"/>
          <w:szCs w:val="22"/>
        </w:rPr>
        <w:t xml:space="preserve"> tra regioni diverse e circa 17 su </w:t>
      </w:r>
      <w:r w:rsidR="00E81C75">
        <w:rPr>
          <w:rFonts w:ascii="Arial" w:hAnsi="Arial" w:cs="Arial"/>
          <w:iCs/>
          <w:sz w:val="22"/>
          <w:szCs w:val="22"/>
        </w:rPr>
        <w:t>1.000</w:t>
      </w:r>
      <w:r w:rsidR="00A9170D">
        <w:rPr>
          <w:rFonts w:ascii="Arial" w:hAnsi="Arial" w:cs="Arial"/>
          <w:iCs/>
          <w:sz w:val="22"/>
          <w:szCs w:val="22"/>
        </w:rPr>
        <w:t xml:space="preserve"> quelli che lo fanno all’interno della </w:t>
      </w:r>
      <w:r w:rsidR="00124DCB">
        <w:rPr>
          <w:rFonts w:ascii="Arial" w:hAnsi="Arial" w:cs="Arial"/>
          <w:iCs/>
          <w:sz w:val="22"/>
          <w:szCs w:val="22"/>
        </w:rPr>
        <w:t xml:space="preserve">stessa </w:t>
      </w:r>
      <w:r w:rsidR="00A9170D">
        <w:rPr>
          <w:rFonts w:ascii="Arial" w:hAnsi="Arial" w:cs="Arial"/>
          <w:iCs/>
          <w:sz w:val="22"/>
          <w:szCs w:val="22"/>
        </w:rPr>
        <w:t>regione</w:t>
      </w:r>
      <w:r w:rsidR="00124DCB">
        <w:rPr>
          <w:rFonts w:ascii="Arial" w:hAnsi="Arial" w:cs="Arial"/>
          <w:iCs/>
          <w:sz w:val="22"/>
          <w:szCs w:val="22"/>
        </w:rPr>
        <w:t xml:space="preserve"> di residenza</w:t>
      </w:r>
      <w:r w:rsidR="00A9170D">
        <w:rPr>
          <w:rFonts w:ascii="Arial" w:hAnsi="Arial" w:cs="Arial"/>
          <w:iCs/>
          <w:sz w:val="22"/>
          <w:szCs w:val="22"/>
        </w:rPr>
        <w:t>.</w:t>
      </w:r>
    </w:p>
    <w:p w14:paraId="4805DD8B" w14:textId="62D6A2A6" w:rsidR="004E4D34" w:rsidRDefault="004214DC" w:rsidP="00622555">
      <w:pPr>
        <w:spacing w:after="120"/>
        <w:jc w:val="both"/>
        <w:outlineLvl w:val="0"/>
        <w:rPr>
          <w:rFonts w:ascii="Arial" w:hAnsi="Arial" w:cs="Arial"/>
          <w:sz w:val="22"/>
          <w:szCs w:val="22"/>
        </w:rPr>
      </w:pPr>
      <w:r>
        <w:rPr>
          <w:rFonts w:ascii="Arial" w:hAnsi="Arial" w:cs="Arial"/>
          <w:iCs/>
          <w:sz w:val="22"/>
          <w:szCs w:val="22"/>
        </w:rPr>
        <w:t>Nel 2018</w:t>
      </w:r>
      <w:r w:rsidRPr="00F66509">
        <w:rPr>
          <w:rFonts w:ascii="Arial" w:hAnsi="Arial" w:cs="Arial"/>
          <w:iCs/>
          <w:sz w:val="22"/>
          <w:szCs w:val="22"/>
        </w:rPr>
        <w:t xml:space="preserve"> il volume complessivo della mobilità interna è di un milione </w:t>
      </w:r>
      <w:r>
        <w:rPr>
          <w:rFonts w:ascii="Arial" w:hAnsi="Arial" w:cs="Arial"/>
          <w:iCs/>
          <w:sz w:val="22"/>
          <w:szCs w:val="22"/>
        </w:rPr>
        <w:t>358</w:t>
      </w:r>
      <w:r w:rsidRPr="00F66509">
        <w:rPr>
          <w:rFonts w:ascii="Arial" w:hAnsi="Arial" w:cs="Arial"/>
          <w:iCs/>
          <w:sz w:val="22"/>
          <w:szCs w:val="22"/>
        </w:rPr>
        <w:t xml:space="preserve"> mila trasferimenti, </w:t>
      </w:r>
      <w:r>
        <w:rPr>
          <w:rFonts w:ascii="Arial" w:hAnsi="Arial" w:cs="Arial"/>
          <w:iCs/>
          <w:sz w:val="22"/>
          <w:szCs w:val="22"/>
        </w:rPr>
        <w:t>leggermente in aumento rispetto al 201</w:t>
      </w:r>
      <w:r w:rsidR="00977842">
        <w:rPr>
          <w:rFonts w:ascii="Arial" w:hAnsi="Arial" w:cs="Arial"/>
          <w:iCs/>
          <w:sz w:val="22"/>
          <w:szCs w:val="22"/>
        </w:rPr>
        <w:t>7</w:t>
      </w:r>
      <w:r>
        <w:rPr>
          <w:rFonts w:ascii="Arial" w:hAnsi="Arial" w:cs="Arial"/>
          <w:iCs/>
          <w:sz w:val="22"/>
          <w:szCs w:val="22"/>
        </w:rPr>
        <w:t xml:space="preserve"> (+1,8</w:t>
      </w:r>
      <w:r w:rsidRPr="00F66509">
        <w:rPr>
          <w:rFonts w:ascii="Arial" w:hAnsi="Arial" w:cs="Arial"/>
          <w:iCs/>
          <w:sz w:val="22"/>
          <w:szCs w:val="22"/>
        </w:rPr>
        <w:t>%).</w:t>
      </w:r>
      <w:r w:rsidR="00D30AB7">
        <w:rPr>
          <w:rFonts w:ascii="Arial" w:hAnsi="Arial" w:cs="Arial"/>
          <w:iCs/>
          <w:sz w:val="22"/>
          <w:szCs w:val="22"/>
        </w:rPr>
        <w:t xml:space="preserve"> </w:t>
      </w:r>
      <w:r w:rsidR="00157ED8">
        <w:rPr>
          <w:rFonts w:ascii="Arial" w:hAnsi="Arial" w:cs="Arial"/>
          <w:sz w:val="22"/>
          <w:szCs w:val="22"/>
        </w:rPr>
        <w:t>In valore assoluto, le regioni in cui si registra il volume più elevato di iscrizioni e cancellazioni anagrafiche sono la Lombardia</w:t>
      </w:r>
      <w:r w:rsidR="00D33ACF">
        <w:rPr>
          <w:rFonts w:ascii="Arial" w:hAnsi="Arial" w:cs="Arial"/>
          <w:sz w:val="22"/>
          <w:szCs w:val="22"/>
        </w:rPr>
        <w:t xml:space="preserve"> (303 mila iscrizioni e 280 mila cancellazioni)</w:t>
      </w:r>
      <w:r w:rsidR="00157ED8">
        <w:rPr>
          <w:rFonts w:ascii="Arial" w:hAnsi="Arial" w:cs="Arial"/>
          <w:sz w:val="22"/>
          <w:szCs w:val="22"/>
        </w:rPr>
        <w:t>, il Veneto</w:t>
      </w:r>
      <w:r w:rsidR="00D33ACF">
        <w:rPr>
          <w:rFonts w:ascii="Arial" w:hAnsi="Arial" w:cs="Arial"/>
          <w:sz w:val="22"/>
          <w:szCs w:val="22"/>
        </w:rPr>
        <w:t xml:space="preserve"> (135 mila iscrizioni e 128 mila cancellazioni) e</w:t>
      </w:r>
      <w:r w:rsidR="00157ED8">
        <w:rPr>
          <w:rFonts w:ascii="Arial" w:hAnsi="Arial" w:cs="Arial"/>
          <w:sz w:val="22"/>
          <w:szCs w:val="22"/>
        </w:rPr>
        <w:t xml:space="preserve"> il Piemonte</w:t>
      </w:r>
      <w:r w:rsidR="00D33ACF">
        <w:rPr>
          <w:rFonts w:ascii="Arial" w:hAnsi="Arial" w:cs="Arial"/>
          <w:sz w:val="22"/>
          <w:szCs w:val="22"/>
        </w:rPr>
        <w:t xml:space="preserve"> (125 mila iscrizioni e 121 cancellazioni); in termini relativi, invece, rapportando il numero di iscrizioni e cancellazioni alla popolazione residente, la regione che mostra una dinamica</w:t>
      </w:r>
      <w:r w:rsidR="00194943">
        <w:rPr>
          <w:rFonts w:ascii="Arial" w:hAnsi="Arial" w:cs="Arial"/>
          <w:sz w:val="22"/>
          <w:szCs w:val="22"/>
        </w:rPr>
        <w:t xml:space="preserve"> migratoria interna</w:t>
      </w:r>
      <w:r w:rsidR="00D33ACF">
        <w:rPr>
          <w:rFonts w:ascii="Arial" w:hAnsi="Arial" w:cs="Arial"/>
          <w:sz w:val="22"/>
          <w:szCs w:val="22"/>
        </w:rPr>
        <w:t xml:space="preserve"> più vivace è la Valle d’Aosta, con tassi pari a 38 iscrizioni e 37 cancellazioni per </w:t>
      </w:r>
      <w:r w:rsidR="00E81C75">
        <w:rPr>
          <w:rFonts w:ascii="Arial" w:hAnsi="Arial" w:cs="Arial"/>
          <w:sz w:val="22"/>
          <w:szCs w:val="22"/>
        </w:rPr>
        <w:t>1.000</w:t>
      </w:r>
      <w:r w:rsidR="00D33ACF">
        <w:rPr>
          <w:rFonts w:ascii="Arial" w:hAnsi="Arial" w:cs="Arial"/>
          <w:sz w:val="22"/>
          <w:szCs w:val="22"/>
        </w:rPr>
        <w:t xml:space="preserve"> abitanti, seguita da Lombardia (30 iscrizioni e 28 cancellazioni per 1.000)</w:t>
      </w:r>
      <w:r w:rsidR="00BF65A1">
        <w:rPr>
          <w:rFonts w:ascii="Arial" w:hAnsi="Arial" w:cs="Arial"/>
          <w:sz w:val="22"/>
          <w:szCs w:val="22"/>
        </w:rPr>
        <w:t xml:space="preserve"> e</w:t>
      </w:r>
      <w:r w:rsidR="00D33ACF">
        <w:rPr>
          <w:rFonts w:ascii="Arial" w:hAnsi="Arial" w:cs="Arial"/>
          <w:sz w:val="22"/>
          <w:szCs w:val="22"/>
        </w:rPr>
        <w:t xml:space="preserve"> </w:t>
      </w:r>
      <w:r>
        <w:rPr>
          <w:rFonts w:ascii="Arial" w:hAnsi="Arial" w:cs="Arial"/>
          <w:sz w:val="22"/>
          <w:szCs w:val="22"/>
        </w:rPr>
        <w:t xml:space="preserve">provincia autonoma di Trento (30 iscrizioni e 27 cancellazioni per 1.000). </w:t>
      </w:r>
    </w:p>
    <w:p w14:paraId="48175F7A" w14:textId="44218A17" w:rsidR="00A64DDA" w:rsidRDefault="004214DC" w:rsidP="00622555">
      <w:pPr>
        <w:spacing w:after="120"/>
        <w:jc w:val="both"/>
        <w:outlineLvl w:val="0"/>
        <w:rPr>
          <w:rFonts w:ascii="Arial" w:hAnsi="Arial" w:cs="Arial"/>
          <w:sz w:val="22"/>
          <w:szCs w:val="22"/>
        </w:rPr>
      </w:pPr>
      <w:r>
        <w:rPr>
          <w:rFonts w:ascii="Arial" w:hAnsi="Arial" w:cs="Arial"/>
          <w:sz w:val="22"/>
          <w:szCs w:val="22"/>
        </w:rPr>
        <w:t>Le regioni meno dinamiche sono Basilicata, Puglia e Calabria</w:t>
      </w:r>
      <w:r w:rsidR="004E4D34">
        <w:rPr>
          <w:rFonts w:ascii="Arial" w:hAnsi="Arial" w:cs="Arial"/>
          <w:sz w:val="22"/>
          <w:szCs w:val="22"/>
        </w:rPr>
        <w:t>,</w:t>
      </w:r>
      <w:r>
        <w:rPr>
          <w:rFonts w:ascii="Arial" w:hAnsi="Arial" w:cs="Arial"/>
          <w:sz w:val="22"/>
          <w:szCs w:val="22"/>
        </w:rPr>
        <w:t xml:space="preserve"> con tassi pari a </w:t>
      </w:r>
      <w:r w:rsidR="004E4D34">
        <w:rPr>
          <w:rFonts w:ascii="Arial" w:hAnsi="Arial" w:cs="Arial"/>
          <w:sz w:val="22"/>
          <w:szCs w:val="22"/>
        </w:rPr>
        <w:t xml:space="preserve">circa </w:t>
      </w:r>
      <w:r>
        <w:rPr>
          <w:rFonts w:ascii="Arial" w:hAnsi="Arial" w:cs="Arial"/>
          <w:sz w:val="22"/>
          <w:szCs w:val="22"/>
        </w:rPr>
        <w:t>12 iscrizioni e 18 ca</w:t>
      </w:r>
      <w:r w:rsidR="00702218">
        <w:rPr>
          <w:rFonts w:ascii="Arial" w:hAnsi="Arial" w:cs="Arial"/>
          <w:sz w:val="22"/>
          <w:szCs w:val="22"/>
        </w:rPr>
        <w:t xml:space="preserve">ncellazioni per 1.000 residenti. I saldi migratori </w:t>
      </w:r>
      <w:r w:rsidR="00564965">
        <w:rPr>
          <w:rFonts w:ascii="Arial" w:hAnsi="Arial" w:cs="Arial"/>
          <w:sz w:val="22"/>
          <w:szCs w:val="22"/>
        </w:rPr>
        <w:t xml:space="preserve">interni </w:t>
      </w:r>
      <w:r w:rsidR="00702218">
        <w:rPr>
          <w:rFonts w:ascii="Arial" w:hAnsi="Arial" w:cs="Arial"/>
          <w:sz w:val="22"/>
          <w:szCs w:val="22"/>
        </w:rPr>
        <w:t xml:space="preserve">evidenziano la perdita o il guadagno di popolazione dovuti ai trasferimenti di residenza </w:t>
      </w:r>
      <w:r w:rsidR="00EA6AFA">
        <w:rPr>
          <w:rFonts w:ascii="Arial" w:hAnsi="Arial" w:cs="Arial"/>
          <w:sz w:val="22"/>
          <w:szCs w:val="22"/>
        </w:rPr>
        <w:t>da</w:t>
      </w:r>
      <w:r w:rsidR="00702218">
        <w:rPr>
          <w:rFonts w:ascii="Arial" w:hAnsi="Arial" w:cs="Arial"/>
          <w:sz w:val="22"/>
          <w:szCs w:val="22"/>
        </w:rPr>
        <w:t xml:space="preserve"> una regione </w:t>
      </w:r>
      <w:r w:rsidR="00EA6AFA">
        <w:rPr>
          <w:rFonts w:ascii="Arial" w:hAnsi="Arial" w:cs="Arial"/>
          <w:sz w:val="22"/>
          <w:szCs w:val="22"/>
        </w:rPr>
        <w:t>all’</w:t>
      </w:r>
      <w:r w:rsidR="00702218">
        <w:rPr>
          <w:rFonts w:ascii="Arial" w:hAnsi="Arial" w:cs="Arial"/>
          <w:sz w:val="22"/>
          <w:szCs w:val="22"/>
        </w:rPr>
        <w:t xml:space="preserve">altra. In termini relativi, il saldo migratorio netto </w:t>
      </w:r>
      <w:r w:rsidR="004E4D34">
        <w:rPr>
          <w:rFonts w:ascii="Arial" w:hAnsi="Arial" w:cs="Arial"/>
          <w:sz w:val="22"/>
          <w:szCs w:val="22"/>
        </w:rPr>
        <w:t xml:space="preserve">più elevato </w:t>
      </w:r>
      <w:r w:rsidR="00702218">
        <w:rPr>
          <w:rFonts w:ascii="Arial" w:hAnsi="Arial" w:cs="Arial"/>
          <w:sz w:val="22"/>
          <w:szCs w:val="22"/>
        </w:rPr>
        <w:t xml:space="preserve">per </w:t>
      </w:r>
      <w:r w:rsidR="00977842">
        <w:rPr>
          <w:rFonts w:ascii="Arial" w:hAnsi="Arial" w:cs="Arial"/>
          <w:sz w:val="22"/>
          <w:szCs w:val="22"/>
        </w:rPr>
        <w:t>1.000</w:t>
      </w:r>
      <w:r w:rsidR="00702218">
        <w:rPr>
          <w:rFonts w:ascii="Arial" w:hAnsi="Arial" w:cs="Arial"/>
          <w:sz w:val="22"/>
          <w:szCs w:val="22"/>
        </w:rPr>
        <w:t xml:space="preserve"> residenti si ha nelle province autonome di Trento e Bolzano (rispettivamente +3,6 e </w:t>
      </w:r>
      <w:r w:rsidR="00977842">
        <w:rPr>
          <w:rFonts w:ascii="Arial" w:hAnsi="Arial" w:cs="Arial"/>
          <w:sz w:val="22"/>
          <w:szCs w:val="22"/>
        </w:rPr>
        <w:t>+</w:t>
      </w:r>
      <w:r w:rsidR="00702218">
        <w:rPr>
          <w:rFonts w:ascii="Arial" w:hAnsi="Arial" w:cs="Arial"/>
          <w:sz w:val="22"/>
          <w:szCs w:val="22"/>
        </w:rPr>
        <w:t xml:space="preserve">3,5 per 1.000), </w:t>
      </w:r>
      <w:r w:rsidR="004E4D34">
        <w:rPr>
          <w:rFonts w:ascii="Arial" w:hAnsi="Arial" w:cs="Arial"/>
          <w:sz w:val="22"/>
          <w:szCs w:val="22"/>
        </w:rPr>
        <w:t xml:space="preserve">seguono </w:t>
      </w:r>
      <w:r w:rsidR="00702218">
        <w:rPr>
          <w:rFonts w:ascii="Arial" w:hAnsi="Arial" w:cs="Arial"/>
          <w:sz w:val="22"/>
          <w:szCs w:val="22"/>
        </w:rPr>
        <w:t>Emilia-Romagna (</w:t>
      </w:r>
      <w:r w:rsidR="00977842">
        <w:rPr>
          <w:rFonts w:ascii="Arial" w:hAnsi="Arial" w:cs="Arial"/>
          <w:sz w:val="22"/>
          <w:szCs w:val="22"/>
        </w:rPr>
        <w:t>+</w:t>
      </w:r>
      <w:r w:rsidR="00702218">
        <w:rPr>
          <w:rFonts w:ascii="Arial" w:hAnsi="Arial" w:cs="Arial"/>
          <w:sz w:val="22"/>
          <w:szCs w:val="22"/>
        </w:rPr>
        <w:t>3,4 per 1.000), Friuli-Venezia Giulia (</w:t>
      </w:r>
      <w:r w:rsidR="00977842">
        <w:rPr>
          <w:rFonts w:ascii="Arial" w:hAnsi="Arial" w:cs="Arial"/>
          <w:sz w:val="22"/>
          <w:szCs w:val="22"/>
        </w:rPr>
        <w:t>+</w:t>
      </w:r>
      <w:r w:rsidR="00702218">
        <w:rPr>
          <w:rFonts w:ascii="Arial" w:hAnsi="Arial" w:cs="Arial"/>
          <w:sz w:val="22"/>
          <w:szCs w:val="22"/>
        </w:rPr>
        <w:t>2,7 per 1.000) e Lombardia (</w:t>
      </w:r>
      <w:r w:rsidR="00977842">
        <w:rPr>
          <w:rFonts w:ascii="Arial" w:hAnsi="Arial" w:cs="Arial"/>
          <w:sz w:val="22"/>
          <w:szCs w:val="22"/>
        </w:rPr>
        <w:t>+</w:t>
      </w:r>
      <w:r w:rsidR="00702218">
        <w:rPr>
          <w:rFonts w:ascii="Arial" w:hAnsi="Arial" w:cs="Arial"/>
          <w:sz w:val="22"/>
          <w:szCs w:val="22"/>
        </w:rPr>
        <w:t>2,3 per 1.000)</w:t>
      </w:r>
      <w:r w:rsidR="004E4D34">
        <w:rPr>
          <w:rFonts w:ascii="Arial" w:hAnsi="Arial" w:cs="Arial"/>
          <w:sz w:val="22"/>
          <w:szCs w:val="22"/>
        </w:rPr>
        <w:t>.</w:t>
      </w:r>
      <w:r w:rsidR="00702218">
        <w:rPr>
          <w:rFonts w:ascii="Arial" w:hAnsi="Arial" w:cs="Arial"/>
          <w:sz w:val="22"/>
          <w:szCs w:val="22"/>
        </w:rPr>
        <w:t xml:space="preserve"> </w:t>
      </w:r>
      <w:r w:rsidR="004E4D34">
        <w:rPr>
          <w:rFonts w:ascii="Arial" w:hAnsi="Arial" w:cs="Arial"/>
          <w:sz w:val="22"/>
          <w:szCs w:val="22"/>
        </w:rPr>
        <w:t>I</w:t>
      </w:r>
      <w:r w:rsidR="00702218">
        <w:rPr>
          <w:rFonts w:ascii="Arial" w:hAnsi="Arial" w:cs="Arial"/>
          <w:sz w:val="22"/>
          <w:szCs w:val="22"/>
        </w:rPr>
        <w:t xml:space="preserve"> tassi migratori netti più bassi si registrano in Calabria (-4,6 per </w:t>
      </w:r>
      <w:r w:rsidR="00977842">
        <w:rPr>
          <w:rFonts w:ascii="Arial" w:hAnsi="Arial" w:cs="Arial"/>
          <w:sz w:val="22"/>
          <w:szCs w:val="22"/>
        </w:rPr>
        <w:t>1.000</w:t>
      </w:r>
      <w:r w:rsidR="00702218">
        <w:rPr>
          <w:rFonts w:ascii="Arial" w:hAnsi="Arial" w:cs="Arial"/>
          <w:sz w:val="22"/>
          <w:szCs w:val="22"/>
        </w:rPr>
        <w:t xml:space="preserve">), Basilicata (-4,3 per 1.000) e Molise (-3,7 </w:t>
      </w:r>
      <w:bookmarkStart w:id="2" w:name="_Hlk25949016"/>
      <w:r w:rsidR="00702218">
        <w:rPr>
          <w:rFonts w:ascii="Arial" w:hAnsi="Arial" w:cs="Arial"/>
          <w:sz w:val="22"/>
          <w:szCs w:val="22"/>
        </w:rPr>
        <w:t>per 1.000</w:t>
      </w:r>
      <w:bookmarkEnd w:id="2"/>
      <w:r w:rsidR="00702218">
        <w:rPr>
          <w:rFonts w:ascii="Arial" w:hAnsi="Arial" w:cs="Arial"/>
          <w:sz w:val="22"/>
          <w:szCs w:val="22"/>
        </w:rPr>
        <w:t>). In generale, tutte le regioni del Centro-nord mostrano saldi netti positivi o prossimi allo zero</w:t>
      </w:r>
      <w:r w:rsidR="004E4D34">
        <w:rPr>
          <w:rFonts w:ascii="Arial" w:hAnsi="Arial" w:cs="Arial"/>
          <w:sz w:val="22"/>
          <w:szCs w:val="22"/>
        </w:rPr>
        <w:t>;</w:t>
      </w:r>
      <w:r w:rsidR="00702218">
        <w:rPr>
          <w:rFonts w:ascii="Arial" w:hAnsi="Arial" w:cs="Arial"/>
          <w:sz w:val="22"/>
          <w:szCs w:val="22"/>
        </w:rPr>
        <w:t xml:space="preserve"> viceversa, le regioni del Mezzogiorno mettono in evidenza perdite nette di popolazione</w:t>
      </w:r>
      <w:r w:rsidR="00BF65A1">
        <w:rPr>
          <w:rFonts w:ascii="Arial" w:hAnsi="Arial" w:cs="Arial"/>
          <w:sz w:val="22"/>
          <w:szCs w:val="22"/>
        </w:rPr>
        <w:t xml:space="preserve"> </w:t>
      </w:r>
      <w:r w:rsidR="00702218">
        <w:rPr>
          <w:rFonts w:ascii="Arial" w:hAnsi="Arial" w:cs="Arial"/>
          <w:sz w:val="22"/>
          <w:szCs w:val="22"/>
        </w:rPr>
        <w:t xml:space="preserve">(Figura </w:t>
      </w:r>
      <w:r w:rsidR="004E4D34">
        <w:rPr>
          <w:rFonts w:ascii="Arial" w:hAnsi="Arial" w:cs="Arial"/>
          <w:sz w:val="22"/>
          <w:szCs w:val="22"/>
        </w:rPr>
        <w:t>6</w:t>
      </w:r>
      <w:r w:rsidR="00702218">
        <w:rPr>
          <w:rFonts w:ascii="Arial" w:hAnsi="Arial" w:cs="Arial"/>
          <w:sz w:val="22"/>
          <w:szCs w:val="22"/>
        </w:rPr>
        <w:t>)</w:t>
      </w:r>
      <w:r w:rsidR="00BF65A1">
        <w:rPr>
          <w:rFonts w:ascii="Arial" w:hAnsi="Arial" w:cs="Arial"/>
          <w:sz w:val="22"/>
          <w:szCs w:val="22"/>
        </w:rPr>
        <w:t>.</w:t>
      </w:r>
    </w:p>
    <w:p w14:paraId="43B6AB01" w14:textId="4F7295C1" w:rsidR="00461351" w:rsidRPr="00F66509" w:rsidRDefault="00461351" w:rsidP="00B463C8">
      <w:pPr>
        <w:spacing w:after="120"/>
        <w:jc w:val="both"/>
        <w:outlineLvl w:val="0"/>
        <w:rPr>
          <w:rFonts w:ascii="Arial" w:hAnsi="Arial" w:cs="Arial"/>
          <w:iCs/>
          <w:sz w:val="22"/>
          <w:szCs w:val="22"/>
        </w:rPr>
      </w:pPr>
      <w:r>
        <w:rPr>
          <w:rFonts w:ascii="Arial" w:hAnsi="Arial" w:cs="Arial"/>
          <w:sz w:val="22"/>
          <w:szCs w:val="22"/>
        </w:rPr>
        <w:t>A</w:t>
      </w:r>
      <w:r w:rsidR="00DC200A">
        <w:rPr>
          <w:rFonts w:ascii="Arial" w:hAnsi="Arial" w:cs="Arial"/>
          <w:sz w:val="22"/>
          <w:szCs w:val="22"/>
        </w:rPr>
        <w:t xml:space="preserve"> livello sub-regionale</w:t>
      </w:r>
      <w:r>
        <w:rPr>
          <w:rFonts w:ascii="Arial" w:hAnsi="Arial" w:cs="Arial"/>
          <w:sz w:val="22"/>
          <w:szCs w:val="22"/>
        </w:rPr>
        <w:t>, le province più attrattive, quelle che cioè hanno un saldo migratorio netto positivo più alto, sono Bologna (</w:t>
      </w:r>
      <w:r w:rsidR="00E81C75">
        <w:rPr>
          <w:rFonts w:ascii="Arial" w:hAnsi="Arial" w:cs="Arial"/>
          <w:sz w:val="22"/>
          <w:szCs w:val="22"/>
        </w:rPr>
        <w:t>+</w:t>
      </w:r>
      <w:r>
        <w:rPr>
          <w:rFonts w:ascii="Arial" w:hAnsi="Arial" w:cs="Arial"/>
          <w:sz w:val="22"/>
          <w:szCs w:val="22"/>
        </w:rPr>
        <w:t xml:space="preserve">5,5 </w:t>
      </w:r>
      <w:r w:rsidR="00B463C8">
        <w:rPr>
          <w:rFonts w:ascii="Arial" w:hAnsi="Arial" w:cs="Arial"/>
          <w:sz w:val="22"/>
          <w:szCs w:val="22"/>
        </w:rPr>
        <w:t>per 1.000</w:t>
      </w:r>
      <w:r>
        <w:rPr>
          <w:rFonts w:ascii="Arial" w:hAnsi="Arial" w:cs="Arial"/>
          <w:sz w:val="22"/>
          <w:szCs w:val="22"/>
        </w:rPr>
        <w:t xml:space="preserve">), Trieste, Pordenone e Modena (tutte con un tasso pari a </w:t>
      </w:r>
      <w:r w:rsidR="00E81C75">
        <w:rPr>
          <w:rFonts w:ascii="Arial" w:hAnsi="Arial" w:cs="Arial"/>
          <w:sz w:val="22"/>
          <w:szCs w:val="22"/>
        </w:rPr>
        <w:t>+</w:t>
      </w:r>
      <w:r>
        <w:rPr>
          <w:rFonts w:ascii="Arial" w:hAnsi="Arial" w:cs="Arial"/>
          <w:sz w:val="22"/>
          <w:szCs w:val="22"/>
        </w:rPr>
        <w:t xml:space="preserve">4 </w:t>
      </w:r>
      <w:r w:rsidR="00B463C8">
        <w:rPr>
          <w:rFonts w:ascii="Arial" w:hAnsi="Arial" w:cs="Arial"/>
          <w:sz w:val="22"/>
          <w:szCs w:val="22"/>
        </w:rPr>
        <w:t>per 1.000</w:t>
      </w:r>
      <w:r>
        <w:rPr>
          <w:rFonts w:ascii="Arial" w:hAnsi="Arial" w:cs="Arial"/>
          <w:sz w:val="22"/>
          <w:szCs w:val="22"/>
        </w:rPr>
        <w:t>)</w:t>
      </w:r>
      <w:r w:rsidR="004E4D34">
        <w:rPr>
          <w:rFonts w:ascii="Arial" w:hAnsi="Arial" w:cs="Arial"/>
          <w:sz w:val="22"/>
          <w:szCs w:val="22"/>
        </w:rPr>
        <w:t>.</w:t>
      </w:r>
      <w:r w:rsidR="00B463C8">
        <w:rPr>
          <w:rFonts w:ascii="Arial" w:hAnsi="Arial" w:cs="Arial"/>
          <w:sz w:val="22"/>
          <w:szCs w:val="22"/>
        </w:rPr>
        <w:t xml:space="preserve"> </w:t>
      </w:r>
      <w:r w:rsidR="004E4D34">
        <w:rPr>
          <w:rFonts w:ascii="Arial" w:hAnsi="Arial" w:cs="Arial"/>
          <w:sz w:val="22"/>
          <w:szCs w:val="22"/>
        </w:rPr>
        <w:t>L</w:t>
      </w:r>
      <w:r w:rsidR="00B463C8">
        <w:rPr>
          <w:rFonts w:ascii="Arial" w:hAnsi="Arial" w:cs="Arial"/>
          <w:sz w:val="22"/>
          <w:szCs w:val="22"/>
        </w:rPr>
        <w:t xml:space="preserve">e province che perdono più residenti, </w:t>
      </w:r>
      <w:r w:rsidR="00C04967">
        <w:rPr>
          <w:rFonts w:ascii="Arial" w:hAnsi="Arial" w:cs="Arial"/>
          <w:sz w:val="22"/>
          <w:szCs w:val="22"/>
        </w:rPr>
        <w:t>facendo</w:t>
      </w:r>
      <w:r w:rsidR="00B463C8">
        <w:rPr>
          <w:rFonts w:ascii="Arial" w:hAnsi="Arial" w:cs="Arial"/>
          <w:sz w:val="22"/>
          <w:szCs w:val="22"/>
        </w:rPr>
        <w:t xml:space="preserve"> registrare saldi migratori netti più </w:t>
      </w:r>
      <w:r w:rsidR="00E81C75">
        <w:rPr>
          <w:rFonts w:ascii="Arial" w:hAnsi="Arial" w:cs="Arial"/>
          <w:sz w:val="22"/>
          <w:szCs w:val="22"/>
        </w:rPr>
        <w:t>bassi</w:t>
      </w:r>
      <w:r w:rsidR="00B463C8">
        <w:rPr>
          <w:rFonts w:ascii="Arial" w:hAnsi="Arial" w:cs="Arial"/>
          <w:sz w:val="22"/>
          <w:szCs w:val="22"/>
        </w:rPr>
        <w:t>, sono Caltanissetta (-8 per 1.000), Crotone, Reggio Calabria ed Enna (tutte con tassi pari a -6 per 1.000)</w:t>
      </w:r>
      <w:r w:rsidR="003C1409">
        <w:rPr>
          <w:rFonts w:ascii="Arial" w:hAnsi="Arial" w:cs="Arial"/>
          <w:sz w:val="22"/>
          <w:szCs w:val="22"/>
        </w:rPr>
        <w:t>.</w:t>
      </w:r>
      <w:r w:rsidR="004E4D34">
        <w:rPr>
          <w:rFonts w:ascii="Arial" w:hAnsi="Arial" w:cs="Arial"/>
          <w:sz w:val="22"/>
          <w:szCs w:val="22"/>
        </w:rPr>
        <w:t xml:space="preserve"> </w:t>
      </w:r>
    </w:p>
    <w:p w14:paraId="51CB1D7A" w14:textId="77777777" w:rsidR="004214DC" w:rsidRDefault="004214DC" w:rsidP="0019759E">
      <w:pPr>
        <w:rPr>
          <w:rFonts w:ascii="Arial Narrow" w:hAnsi="Arial Narrow" w:cs="Arial"/>
          <w:b/>
          <w:iCs/>
          <w:noProof/>
          <w:color w:val="1F497D" w:themeColor="text2"/>
          <w:sz w:val="22"/>
          <w:szCs w:val="22"/>
        </w:rPr>
      </w:pPr>
    </w:p>
    <w:p w14:paraId="40D221D2" w14:textId="77777777" w:rsidR="00AE1C2A" w:rsidRDefault="00AE1C2A" w:rsidP="0019759E">
      <w:pPr>
        <w:rPr>
          <w:rFonts w:ascii="Arial Narrow" w:hAnsi="Arial Narrow" w:cs="Arial"/>
          <w:b/>
          <w:iCs/>
          <w:noProof/>
          <w:color w:val="1F497D" w:themeColor="text2"/>
          <w:sz w:val="22"/>
          <w:szCs w:val="22"/>
        </w:rPr>
      </w:pPr>
    </w:p>
    <w:p w14:paraId="72844B74" w14:textId="77777777" w:rsidR="003C1409" w:rsidRDefault="003C1409" w:rsidP="0019759E">
      <w:pPr>
        <w:rPr>
          <w:rFonts w:ascii="Arial Narrow" w:hAnsi="Arial Narrow" w:cs="Arial"/>
          <w:b/>
          <w:iCs/>
          <w:noProof/>
          <w:color w:val="1F497D" w:themeColor="text2"/>
          <w:sz w:val="22"/>
          <w:szCs w:val="22"/>
        </w:rPr>
      </w:pPr>
    </w:p>
    <w:p w14:paraId="030DB7DE" w14:textId="77777777" w:rsidR="0098125E" w:rsidRDefault="0098125E" w:rsidP="0019759E">
      <w:pPr>
        <w:rPr>
          <w:rFonts w:ascii="Arial Narrow" w:hAnsi="Arial Narrow" w:cs="Arial"/>
          <w:b/>
          <w:iCs/>
          <w:noProof/>
          <w:color w:val="1F497D" w:themeColor="text2"/>
          <w:sz w:val="22"/>
          <w:szCs w:val="22"/>
        </w:rPr>
      </w:pPr>
    </w:p>
    <w:p w14:paraId="0606D93B" w14:textId="584FA7B6" w:rsidR="00F66509" w:rsidRDefault="00F66509" w:rsidP="0019759E">
      <w:pPr>
        <w:rPr>
          <w:rFonts w:ascii="Arial Narrow" w:hAnsi="Arial Narrow" w:cs="Arial"/>
          <w:b/>
          <w:iCs/>
          <w:noProof/>
          <w:color w:val="1F497D" w:themeColor="text2"/>
          <w:sz w:val="22"/>
          <w:szCs w:val="22"/>
        </w:rPr>
      </w:pPr>
    </w:p>
    <w:p w14:paraId="02E1D3A7" w14:textId="2C815BAD" w:rsidR="003C1409" w:rsidRDefault="003C1409" w:rsidP="0019759E">
      <w:pPr>
        <w:rPr>
          <w:rFonts w:ascii="Arial Narrow" w:hAnsi="Arial Narrow" w:cs="Arial"/>
          <w:b/>
          <w:iCs/>
          <w:noProof/>
          <w:color w:val="1F497D" w:themeColor="text2"/>
          <w:sz w:val="22"/>
          <w:szCs w:val="22"/>
        </w:rPr>
      </w:pPr>
    </w:p>
    <w:p w14:paraId="79A6C38E" w14:textId="77777777" w:rsidR="003C1409" w:rsidRDefault="003C1409" w:rsidP="0019759E">
      <w:pPr>
        <w:rPr>
          <w:rFonts w:ascii="Arial Narrow" w:hAnsi="Arial Narrow" w:cs="Arial"/>
          <w:b/>
          <w:iCs/>
          <w:noProof/>
          <w:color w:val="1F497D" w:themeColor="text2"/>
          <w:sz w:val="22"/>
          <w:szCs w:val="22"/>
        </w:rPr>
      </w:pPr>
    </w:p>
    <w:p w14:paraId="4FC870EB" w14:textId="79E7E0BB" w:rsidR="00F66509" w:rsidRDefault="004A2DB4" w:rsidP="00D963A4">
      <w:pPr>
        <w:rPr>
          <w:rFonts w:ascii="Arial Narrow" w:hAnsi="Arial Narrow" w:cs="Arial"/>
          <w:iCs/>
          <w:noProof/>
          <w:color w:val="1F497D" w:themeColor="text2"/>
          <w:sz w:val="22"/>
          <w:szCs w:val="22"/>
        </w:rPr>
      </w:pPr>
      <w:bookmarkStart w:id="3" w:name="_Hlk25776699"/>
      <w:r w:rsidRPr="005D02DA">
        <w:rPr>
          <w:rFonts w:ascii="Arial Black" w:hAnsi="Arial Black" w:cs="Arial"/>
          <w:iCs/>
          <w:noProof/>
          <w:color w:val="1F497D" w:themeColor="text2"/>
          <w:sz w:val="22"/>
          <w:szCs w:val="22"/>
        </w:rPr>
        <w:t xml:space="preserve">FIGURA </w:t>
      </w:r>
      <w:r w:rsidR="004E4D34">
        <w:rPr>
          <w:rFonts w:ascii="Arial Black" w:hAnsi="Arial Black" w:cs="Arial"/>
          <w:iCs/>
          <w:noProof/>
          <w:color w:val="1F497D" w:themeColor="text2"/>
          <w:sz w:val="22"/>
          <w:szCs w:val="22"/>
        </w:rPr>
        <w:t>6</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sidR="00845DF8">
        <w:rPr>
          <w:rFonts w:ascii="Arial Narrow" w:hAnsi="Arial Narrow" w:cs="Arial"/>
          <w:b/>
          <w:iCs/>
          <w:noProof/>
          <w:color w:val="1F497D" w:themeColor="text2"/>
          <w:sz w:val="22"/>
          <w:szCs w:val="22"/>
        </w:rPr>
        <w:t>ISCRIZIONI  E CANCELLAZIONI ANAGRAFICHE TRA COMUNI E SALDO MIGRATORIO</w:t>
      </w:r>
      <w:r w:rsidR="00277638">
        <w:rPr>
          <w:rFonts w:ascii="Arial Narrow" w:hAnsi="Arial Narrow" w:cs="Arial"/>
          <w:b/>
          <w:iCs/>
          <w:noProof/>
          <w:color w:val="1F497D" w:themeColor="text2"/>
          <w:sz w:val="22"/>
          <w:szCs w:val="22"/>
        </w:rPr>
        <w:t xml:space="preserve"> PER REGIONE</w:t>
      </w:r>
      <w:r w:rsidR="000208E2">
        <w:rPr>
          <w:rFonts w:ascii="Arial Narrow" w:hAnsi="Arial Narrow" w:cs="Arial"/>
          <w:b/>
          <w:iCs/>
          <w:noProof/>
          <w:color w:val="1F497D" w:themeColor="text2"/>
          <w:sz w:val="22"/>
          <w:szCs w:val="22"/>
        </w:rPr>
        <w:t xml:space="preserve">. </w:t>
      </w:r>
      <w:r w:rsidR="00D963A4" w:rsidRPr="003F4D0E">
        <w:rPr>
          <w:rFonts w:ascii="Arial Narrow" w:hAnsi="Arial Narrow" w:cs="Arial"/>
          <w:iCs/>
          <w:noProof/>
          <w:color w:val="1F497D" w:themeColor="text2"/>
          <w:sz w:val="22"/>
          <w:szCs w:val="22"/>
        </w:rPr>
        <w:t>Ann</w:t>
      </w:r>
      <w:r w:rsidR="00845DF8">
        <w:rPr>
          <w:rFonts w:ascii="Arial Narrow" w:hAnsi="Arial Narrow" w:cs="Arial"/>
          <w:iCs/>
          <w:noProof/>
          <w:color w:val="1F497D" w:themeColor="text2"/>
          <w:sz w:val="22"/>
          <w:szCs w:val="22"/>
        </w:rPr>
        <w:t>o</w:t>
      </w:r>
      <w:r w:rsidR="00D963A4" w:rsidRPr="003F4D0E">
        <w:rPr>
          <w:rFonts w:ascii="Arial Narrow" w:hAnsi="Arial Narrow" w:cs="Arial"/>
          <w:iCs/>
          <w:noProof/>
          <w:color w:val="1F497D" w:themeColor="text2"/>
          <w:sz w:val="22"/>
          <w:szCs w:val="22"/>
        </w:rPr>
        <w:t xml:space="preserve">-2018, </w:t>
      </w:r>
      <w:r w:rsidR="004214DC">
        <w:rPr>
          <w:rFonts w:ascii="Arial Narrow" w:hAnsi="Arial Narrow" w:cs="Arial"/>
          <w:iCs/>
          <w:noProof/>
          <w:color w:val="1F497D" w:themeColor="text2"/>
          <w:sz w:val="22"/>
          <w:szCs w:val="22"/>
        </w:rPr>
        <w:t>valori per 1.000</w:t>
      </w:r>
      <w:r w:rsidR="006511E5">
        <w:rPr>
          <w:rFonts w:ascii="Arial Narrow" w:hAnsi="Arial Narrow" w:cs="Arial"/>
          <w:iCs/>
          <w:noProof/>
          <w:color w:val="1F497D" w:themeColor="text2"/>
          <w:sz w:val="22"/>
          <w:szCs w:val="22"/>
        </w:rPr>
        <w:t xml:space="preserve"> residenti</w:t>
      </w:r>
      <w:r w:rsidR="000208E2">
        <w:rPr>
          <w:rFonts w:ascii="Arial Narrow" w:hAnsi="Arial Narrow" w:cs="Arial"/>
          <w:iCs/>
          <w:noProof/>
          <w:color w:val="1F497D" w:themeColor="text2"/>
          <w:sz w:val="22"/>
          <w:szCs w:val="22"/>
        </w:rPr>
        <w:t xml:space="preserve"> nella regione</w:t>
      </w:r>
    </w:p>
    <w:p w14:paraId="2AA45D98" w14:textId="77777777" w:rsidR="001A52EE" w:rsidRPr="009718E2" w:rsidRDefault="001A52EE" w:rsidP="00D963A4">
      <w:pPr>
        <w:rPr>
          <w:rFonts w:ascii="Arial Narrow" w:hAnsi="Arial Narrow" w:cs="Arial"/>
          <w:iCs/>
          <w:noProof/>
          <w:color w:val="1F497D" w:themeColor="text2"/>
          <w:sz w:val="12"/>
          <w:szCs w:val="22"/>
        </w:rPr>
      </w:pPr>
    </w:p>
    <w:p w14:paraId="50890EA9" w14:textId="5B91A0E6" w:rsidR="00BA1FDF" w:rsidRDefault="00BA1FDF" w:rsidP="00D963A4">
      <w:pPr>
        <w:rPr>
          <w:rFonts w:ascii="Arial Narrow" w:hAnsi="Arial Narrow" w:cs="Arial"/>
          <w:iCs/>
          <w:noProof/>
          <w:color w:val="1F497D" w:themeColor="text2"/>
          <w:sz w:val="22"/>
          <w:szCs w:val="22"/>
        </w:rPr>
      </w:pPr>
      <w:r>
        <w:rPr>
          <w:noProof/>
        </w:rPr>
        <w:drawing>
          <wp:inline distT="0" distB="0" distL="0" distR="0" wp14:anchorId="7CD68E03" wp14:editId="7C6EDB27">
            <wp:extent cx="6305460" cy="2431177"/>
            <wp:effectExtent l="0" t="0" r="635" b="762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3"/>
    <w:p w14:paraId="2C636865" w14:textId="77777777" w:rsidR="0057366D" w:rsidRDefault="0057366D" w:rsidP="00F37B10">
      <w:pPr>
        <w:autoSpaceDE w:val="0"/>
        <w:autoSpaceDN w:val="0"/>
        <w:adjustRightInd w:val="0"/>
        <w:spacing w:after="120"/>
        <w:jc w:val="both"/>
        <w:rPr>
          <w:rFonts w:ascii="Arial" w:hAnsi="Arial" w:cs="Arial"/>
          <w:b/>
          <w:iCs/>
          <w:color w:val="1F497D" w:themeColor="text2"/>
          <w:sz w:val="26"/>
          <w:szCs w:val="26"/>
        </w:rPr>
      </w:pPr>
    </w:p>
    <w:p w14:paraId="4D3DC4FF" w14:textId="58134E06" w:rsidR="00B5185B" w:rsidRPr="00F37B10" w:rsidRDefault="00A069BD" w:rsidP="00F37B10">
      <w:pPr>
        <w:autoSpaceDE w:val="0"/>
        <w:autoSpaceDN w:val="0"/>
        <w:adjustRightInd w:val="0"/>
        <w:spacing w:after="120"/>
        <w:jc w:val="both"/>
        <w:rPr>
          <w:rFonts w:ascii="Arial" w:hAnsi="Arial" w:cs="Arial"/>
          <w:b/>
          <w:iCs/>
          <w:color w:val="1F497D" w:themeColor="text2"/>
          <w:sz w:val="26"/>
          <w:szCs w:val="26"/>
        </w:rPr>
      </w:pPr>
      <w:r>
        <w:rPr>
          <w:rFonts w:ascii="Arial" w:hAnsi="Arial" w:cs="Arial"/>
          <w:b/>
          <w:iCs/>
          <w:color w:val="1F497D" w:themeColor="text2"/>
          <w:sz w:val="26"/>
          <w:szCs w:val="26"/>
        </w:rPr>
        <w:t>G</w:t>
      </w:r>
      <w:r w:rsidR="00B5185B" w:rsidRPr="00F37B10">
        <w:rPr>
          <w:rFonts w:ascii="Arial" w:hAnsi="Arial" w:cs="Arial"/>
          <w:b/>
          <w:iCs/>
          <w:color w:val="1F497D" w:themeColor="text2"/>
          <w:sz w:val="26"/>
          <w:szCs w:val="26"/>
        </w:rPr>
        <w:t xml:space="preserve">iovani </w:t>
      </w:r>
      <w:r w:rsidR="001D3DDF">
        <w:rPr>
          <w:rFonts w:ascii="Arial" w:hAnsi="Arial" w:cs="Arial"/>
          <w:b/>
          <w:iCs/>
          <w:color w:val="1F497D" w:themeColor="text2"/>
          <w:sz w:val="26"/>
          <w:szCs w:val="26"/>
        </w:rPr>
        <w:t>più propensi a trasferirsi</w:t>
      </w:r>
      <w:r w:rsidR="00AE1C2A">
        <w:rPr>
          <w:rFonts w:ascii="Arial" w:hAnsi="Arial" w:cs="Arial"/>
          <w:b/>
          <w:iCs/>
          <w:color w:val="1F497D" w:themeColor="text2"/>
          <w:sz w:val="26"/>
          <w:szCs w:val="26"/>
        </w:rPr>
        <w:t xml:space="preserve"> nel</w:t>
      </w:r>
      <w:r w:rsidR="00B5185B" w:rsidRPr="00F37B10">
        <w:rPr>
          <w:rFonts w:ascii="Arial" w:hAnsi="Arial" w:cs="Arial"/>
          <w:b/>
          <w:iCs/>
          <w:color w:val="1F497D" w:themeColor="text2"/>
          <w:sz w:val="26"/>
          <w:szCs w:val="26"/>
        </w:rPr>
        <w:t>le province dei grandi centri urbani</w:t>
      </w:r>
      <w:r w:rsidR="004E4D34">
        <w:rPr>
          <w:rFonts w:ascii="Arial" w:hAnsi="Arial" w:cs="Arial"/>
          <w:b/>
          <w:iCs/>
          <w:color w:val="1F497D" w:themeColor="text2"/>
          <w:sz w:val="26"/>
          <w:szCs w:val="26"/>
        </w:rPr>
        <w:t xml:space="preserve"> </w:t>
      </w:r>
    </w:p>
    <w:p w14:paraId="55BB412E" w14:textId="32029721" w:rsidR="00F66509" w:rsidRDefault="00F66509" w:rsidP="00F66509">
      <w:pPr>
        <w:spacing w:after="120"/>
        <w:jc w:val="both"/>
        <w:outlineLvl w:val="0"/>
        <w:rPr>
          <w:rFonts w:ascii="Arial" w:hAnsi="Arial" w:cs="Arial"/>
          <w:iCs/>
          <w:sz w:val="22"/>
          <w:szCs w:val="22"/>
        </w:rPr>
      </w:pPr>
      <w:r w:rsidRPr="00F66509">
        <w:rPr>
          <w:rFonts w:ascii="Arial" w:hAnsi="Arial" w:cs="Arial"/>
          <w:iCs/>
          <w:sz w:val="22"/>
          <w:szCs w:val="22"/>
        </w:rPr>
        <w:t xml:space="preserve">I profili per genere ed età dei migranti </w:t>
      </w:r>
      <w:r w:rsidR="0002257A">
        <w:rPr>
          <w:rFonts w:ascii="Arial" w:hAnsi="Arial" w:cs="Arial"/>
          <w:iCs/>
          <w:sz w:val="22"/>
          <w:szCs w:val="22"/>
        </w:rPr>
        <w:t>che cambiano residenza dentro ai confini nazionali</w:t>
      </w:r>
      <w:r w:rsidRPr="00F66509">
        <w:rPr>
          <w:rFonts w:ascii="Arial" w:hAnsi="Arial" w:cs="Arial"/>
          <w:iCs/>
          <w:sz w:val="22"/>
          <w:szCs w:val="22"/>
        </w:rPr>
        <w:t xml:space="preserve"> sono simili. La percentuale di uomini sul totale dei migranti è pari a</w:t>
      </w:r>
      <w:r w:rsidR="00EB680C">
        <w:rPr>
          <w:rFonts w:ascii="Arial" w:hAnsi="Arial" w:cs="Arial"/>
          <w:iCs/>
          <w:sz w:val="22"/>
          <w:szCs w:val="22"/>
        </w:rPr>
        <w:t>l</w:t>
      </w:r>
      <w:r w:rsidRPr="00F66509">
        <w:rPr>
          <w:rFonts w:ascii="Arial" w:hAnsi="Arial" w:cs="Arial"/>
          <w:iCs/>
          <w:sz w:val="22"/>
          <w:szCs w:val="22"/>
        </w:rPr>
        <w:t xml:space="preserve"> 50,</w:t>
      </w:r>
      <w:r w:rsidR="0002257A">
        <w:rPr>
          <w:rFonts w:ascii="Arial" w:hAnsi="Arial" w:cs="Arial"/>
          <w:iCs/>
          <w:sz w:val="22"/>
          <w:szCs w:val="22"/>
        </w:rPr>
        <w:t>5</w:t>
      </w:r>
      <w:r w:rsidRPr="00F66509">
        <w:rPr>
          <w:rFonts w:ascii="Arial" w:hAnsi="Arial" w:cs="Arial"/>
          <w:iCs/>
          <w:sz w:val="22"/>
          <w:szCs w:val="22"/>
        </w:rPr>
        <w:t>%</w:t>
      </w:r>
      <w:r w:rsidR="001D3DDF">
        <w:rPr>
          <w:rFonts w:ascii="Arial" w:hAnsi="Arial" w:cs="Arial"/>
          <w:iCs/>
          <w:sz w:val="22"/>
          <w:szCs w:val="22"/>
        </w:rPr>
        <w:t xml:space="preserve"> e a</w:t>
      </w:r>
      <w:r w:rsidRPr="00F66509">
        <w:rPr>
          <w:rFonts w:ascii="Arial" w:hAnsi="Arial" w:cs="Arial"/>
          <w:iCs/>
          <w:sz w:val="22"/>
          <w:szCs w:val="22"/>
        </w:rPr>
        <w:t>nche l’età media al</w:t>
      </w:r>
      <w:r w:rsidR="00564965">
        <w:rPr>
          <w:rFonts w:ascii="Arial" w:hAnsi="Arial" w:cs="Arial"/>
          <w:iCs/>
          <w:sz w:val="22"/>
          <w:szCs w:val="22"/>
        </w:rPr>
        <w:t xml:space="preserve">la data del </w:t>
      </w:r>
      <w:r w:rsidRPr="00F66509">
        <w:rPr>
          <w:rFonts w:ascii="Arial" w:hAnsi="Arial" w:cs="Arial"/>
          <w:iCs/>
          <w:sz w:val="22"/>
          <w:szCs w:val="22"/>
        </w:rPr>
        <w:t>trasferimento è molto vicina</w:t>
      </w:r>
      <w:r w:rsidR="00277638">
        <w:rPr>
          <w:rFonts w:ascii="Arial" w:hAnsi="Arial" w:cs="Arial"/>
          <w:iCs/>
          <w:sz w:val="22"/>
          <w:szCs w:val="22"/>
        </w:rPr>
        <w:t>,</w:t>
      </w:r>
      <w:r w:rsidRPr="00F66509">
        <w:rPr>
          <w:rFonts w:ascii="Arial" w:hAnsi="Arial" w:cs="Arial"/>
          <w:iCs/>
          <w:sz w:val="22"/>
          <w:szCs w:val="22"/>
        </w:rPr>
        <w:t xml:space="preserve"> leggermente posticipata per le donne (35 uomini e 36,</w:t>
      </w:r>
      <w:r w:rsidR="0002257A">
        <w:rPr>
          <w:rFonts w:ascii="Arial" w:hAnsi="Arial" w:cs="Arial"/>
          <w:iCs/>
          <w:sz w:val="22"/>
          <w:szCs w:val="22"/>
        </w:rPr>
        <w:t>5 donne).</w:t>
      </w:r>
    </w:p>
    <w:p w14:paraId="410B96F2" w14:textId="286C9871" w:rsidR="001D3DDF" w:rsidRDefault="00BC4D4C" w:rsidP="00BC4D4C">
      <w:pPr>
        <w:spacing w:after="120"/>
        <w:jc w:val="both"/>
        <w:outlineLvl w:val="0"/>
        <w:rPr>
          <w:rFonts w:ascii="Arial" w:hAnsi="Arial" w:cs="Arial"/>
          <w:iCs/>
          <w:sz w:val="22"/>
          <w:szCs w:val="22"/>
        </w:rPr>
      </w:pPr>
      <w:r w:rsidRPr="00BC4D4C">
        <w:rPr>
          <w:rFonts w:ascii="Arial" w:hAnsi="Arial" w:cs="Arial"/>
          <w:iCs/>
          <w:sz w:val="22"/>
          <w:szCs w:val="22"/>
        </w:rPr>
        <w:t xml:space="preserve">L’età è uno dei fattori che più influenza il comportamento migratorio: i trasferimenti di residenza in età lavorativa sono, in generale, più numerosi rispetto </w:t>
      </w:r>
      <w:r w:rsidR="001D3DDF">
        <w:rPr>
          <w:rFonts w:ascii="Arial" w:hAnsi="Arial" w:cs="Arial"/>
          <w:iCs/>
          <w:sz w:val="22"/>
          <w:szCs w:val="22"/>
        </w:rPr>
        <w:t xml:space="preserve">a quelli registrati per le </w:t>
      </w:r>
      <w:r w:rsidRPr="00BC4D4C">
        <w:rPr>
          <w:rFonts w:ascii="Arial" w:hAnsi="Arial" w:cs="Arial"/>
          <w:iCs/>
          <w:sz w:val="22"/>
          <w:szCs w:val="22"/>
        </w:rPr>
        <w:t xml:space="preserve">altre fasce di età. </w:t>
      </w:r>
    </w:p>
    <w:p w14:paraId="0BC053B0" w14:textId="6920FD84" w:rsidR="004128D4" w:rsidRDefault="0002257A" w:rsidP="00BC4D4C">
      <w:pPr>
        <w:spacing w:after="120"/>
        <w:jc w:val="both"/>
        <w:outlineLvl w:val="0"/>
        <w:rPr>
          <w:rFonts w:ascii="Arial" w:hAnsi="Arial" w:cs="Arial"/>
          <w:iCs/>
          <w:sz w:val="22"/>
          <w:szCs w:val="22"/>
        </w:rPr>
      </w:pPr>
      <w:r>
        <w:rPr>
          <w:rFonts w:ascii="Arial" w:hAnsi="Arial" w:cs="Arial"/>
          <w:iCs/>
          <w:sz w:val="22"/>
          <w:szCs w:val="22"/>
        </w:rPr>
        <w:t xml:space="preserve">Nel 2018, quasi la metà di chi si è spostato da un comune </w:t>
      </w:r>
      <w:r w:rsidR="00564965">
        <w:rPr>
          <w:rFonts w:ascii="Arial" w:hAnsi="Arial" w:cs="Arial"/>
          <w:iCs/>
          <w:sz w:val="22"/>
          <w:szCs w:val="22"/>
        </w:rPr>
        <w:t>al</w:t>
      </w:r>
      <w:r>
        <w:rPr>
          <w:rFonts w:ascii="Arial" w:hAnsi="Arial" w:cs="Arial"/>
          <w:iCs/>
          <w:sz w:val="22"/>
          <w:szCs w:val="22"/>
        </w:rPr>
        <w:t xml:space="preserve">l’altro all’interno del </w:t>
      </w:r>
      <w:r w:rsidR="00564965">
        <w:rPr>
          <w:rFonts w:ascii="Arial" w:hAnsi="Arial" w:cs="Arial"/>
          <w:iCs/>
          <w:sz w:val="22"/>
          <w:szCs w:val="22"/>
        </w:rPr>
        <w:t>P</w:t>
      </w:r>
      <w:r>
        <w:rPr>
          <w:rFonts w:ascii="Arial" w:hAnsi="Arial" w:cs="Arial"/>
          <w:iCs/>
          <w:sz w:val="22"/>
          <w:szCs w:val="22"/>
        </w:rPr>
        <w:t>aese</w:t>
      </w:r>
      <w:r w:rsidR="00BC4D4C" w:rsidRPr="00BC4D4C">
        <w:rPr>
          <w:rFonts w:ascii="Arial" w:hAnsi="Arial" w:cs="Arial"/>
          <w:iCs/>
          <w:sz w:val="22"/>
          <w:szCs w:val="22"/>
        </w:rPr>
        <w:t xml:space="preserve"> h</w:t>
      </w:r>
      <w:r>
        <w:rPr>
          <w:rFonts w:ascii="Arial" w:hAnsi="Arial" w:cs="Arial"/>
          <w:iCs/>
          <w:sz w:val="22"/>
          <w:szCs w:val="22"/>
        </w:rPr>
        <w:t>a un’età compresa tra i 15 e i 40</w:t>
      </w:r>
      <w:r w:rsidR="00BC4D4C" w:rsidRPr="00BC4D4C">
        <w:rPr>
          <w:rFonts w:ascii="Arial" w:hAnsi="Arial" w:cs="Arial"/>
          <w:iCs/>
          <w:sz w:val="22"/>
          <w:szCs w:val="22"/>
        </w:rPr>
        <w:t xml:space="preserve"> anni. Una quota significativa di trasferimenti (</w:t>
      </w:r>
      <w:r>
        <w:rPr>
          <w:rFonts w:ascii="Arial" w:hAnsi="Arial" w:cs="Arial"/>
          <w:iCs/>
          <w:sz w:val="22"/>
          <w:szCs w:val="22"/>
        </w:rPr>
        <w:t>27</w:t>
      </w:r>
      <w:r w:rsidR="00BC4D4C" w:rsidRPr="00BC4D4C">
        <w:rPr>
          <w:rFonts w:ascii="Arial" w:hAnsi="Arial" w:cs="Arial"/>
          <w:iCs/>
          <w:sz w:val="22"/>
          <w:szCs w:val="22"/>
        </w:rPr>
        <w:t>%) si osserva an</w:t>
      </w:r>
      <w:r>
        <w:rPr>
          <w:rFonts w:ascii="Arial" w:hAnsi="Arial" w:cs="Arial"/>
          <w:iCs/>
          <w:sz w:val="22"/>
          <w:szCs w:val="22"/>
        </w:rPr>
        <w:t>che nella fascia di età tra i 41</w:t>
      </w:r>
      <w:r w:rsidR="00BC4D4C" w:rsidRPr="00BC4D4C">
        <w:rPr>
          <w:rFonts w:ascii="Arial" w:hAnsi="Arial" w:cs="Arial"/>
          <w:iCs/>
          <w:sz w:val="22"/>
          <w:szCs w:val="22"/>
        </w:rPr>
        <w:t xml:space="preserve"> e i 64 anni. La percentuale dei più giovani (0-14 anni) è poco </w:t>
      </w:r>
      <w:r>
        <w:rPr>
          <w:rFonts w:ascii="Arial" w:hAnsi="Arial" w:cs="Arial"/>
          <w:iCs/>
          <w:sz w:val="22"/>
          <w:szCs w:val="22"/>
        </w:rPr>
        <w:t>più del 15</w:t>
      </w:r>
      <w:r w:rsidR="00BC4D4C" w:rsidRPr="00BC4D4C">
        <w:rPr>
          <w:rFonts w:ascii="Arial" w:hAnsi="Arial" w:cs="Arial"/>
          <w:iCs/>
          <w:sz w:val="22"/>
          <w:szCs w:val="22"/>
        </w:rPr>
        <w:t>%</w:t>
      </w:r>
      <w:r w:rsidR="00AE1C2A">
        <w:rPr>
          <w:rFonts w:ascii="Arial" w:hAnsi="Arial" w:cs="Arial"/>
          <w:iCs/>
          <w:sz w:val="22"/>
          <w:szCs w:val="22"/>
        </w:rPr>
        <w:t xml:space="preserve"> e si deve agli spostamenti dei nuclei familiari;</w:t>
      </w:r>
      <w:r w:rsidR="00BC4D4C" w:rsidRPr="00BC4D4C">
        <w:rPr>
          <w:rFonts w:ascii="Arial" w:hAnsi="Arial" w:cs="Arial"/>
          <w:iCs/>
          <w:sz w:val="22"/>
          <w:szCs w:val="22"/>
        </w:rPr>
        <w:t xml:space="preserve"> gli ultrasessantacinquenni</w:t>
      </w:r>
      <w:r>
        <w:rPr>
          <w:rFonts w:ascii="Arial" w:hAnsi="Arial" w:cs="Arial"/>
          <w:iCs/>
          <w:sz w:val="22"/>
          <w:szCs w:val="22"/>
        </w:rPr>
        <w:t>, invece, si spostano solo nell’8</w:t>
      </w:r>
      <w:r w:rsidR="00BC4D4C" w:rsidRPr="00BC4D4C">
        <w:rPr>
          <w:rFonts w:ascii="Arial" w:hAnsi="Arial" w:cs="Arial"/>
          <w:iCs/>
          <w:sz w:val="22"/>
          <w:szCs w:val="22"/>
        </w:rPr>
        <w:t>% dei casi.</w:t>
      </w:r>
      <w:r w:rsidR="00B5185B">
        <w:rPr>
          <w:rFonts w:ascii="Arial" w:hAnsi="Arial" w:cs="Arial"/>
          <w:iCs/>
          <w:sz w:val="22"/>
          <w:szCs w:val="22"/>
        </w:rPr>
        <w:t xml:space="preserve"> </w:t>
      </w:r>
      <w:r w:rsidR="001D3DDF">
        <w:rPr>
          <w:rFonts w:ascii="Arial" w:hAnsi="Arial" w:cs="Arial"/>
          <w:iCs/>
          <w:sz w:val="22"/>
          <w:szCs w:val="22"/>
        </w:rPr>
        <w:t>I</w:t>
      </w:r>
      <w:r w:rsidR="00BC4D4C" w:rsidRPr="00BC4D4C">
        <w:rPr>
          <w:rFonts w:ascii="Arial" w:hAnsi="Arial" w:cs="Arial"/>
          <w:iCs/>
          <w:sz w:val="22"/>
          <w:szCs w:val="22"/>
        </w:rPr>
        <w:t xml:space="preserve"> giovani adulti, spesso con figli piccoli, costituiscono</w:t>
      </w:r>
      <w:r w:rsidR="001D3DDF">
        <w:rPr>
          <w:rFonts w:ascii="Arial" w:hAnsi="Arial" w:cs="Arial"/>
          <w:iCs/>
          <w:sz w:val="22"/>
          <w:szCs w:val="22"/>
        </w:rPr>
        <w:t xml:space="preserve"> dunque</w:t>
      </w:r>
      <w:r w:rsidR="00BC4D4C" w:rsidRPr="00BC4D4C">
        <w:rPr>
          <w:rFonts w:ascii="Arial" w:hAnsi="Arial" w:cs="Arial"/>
          <w:iCs/>
          <w:sz w:val="22"/>
          <w:szCs w:val="22"/>
        </w:rPr>
        <w:t xml:space="preserve"> la quota maggiore tra chi si sposta. I trasferimenti in queste fasce di età possono essere motivati dal proseguimento degli studi, da esigenze di lavoro o familiari.</w:t>
      </w:r>
    </w:p>
    <w:p w14:paraId="719A6A3F" w14:textId="512CD285" w:rsidR="00B971EF" w:rsidRDefault="00DF7FF6" w:rsidP="00B5185B">
      <w:pPr>
        <w:spacing w:after="120"/>
        <w:jc w:val="both"/>
        <w:outlineLvl w:val="0"/>
        <w:rPr>
          <w:rFonts w:ascii="Arial" w:hAnsi="Arial" w:cs="Arial"/>
          <w:iCs/>
          <w:sz w:val="22"/>
          <w:szCs w:val="22"/>
        </w:rPr>
      </w:pPr>
      <w:r>
        <w:rPr>
          <w:rFonts w:ascii="Arial" w:hAnsi="Arial" w:cs="Arial"/>
          <w:iCs/>
          <w:sz w:val="22"/>
          <w:szCs w:val="22"/>
        </w:rPr>
        <w:t>II</w:t>
      </w:r>
      <w:r w:rsidR="00BC4D4C" w:rsidRPr="00BC4D4C">
        <w:rPr>
          <w:rFonts w:ascii="Arial" w:hAnsi="Arial" w:cs="Arial"/>
          <w:iCs/>
          <w:sz w:val="22"/>
          <w:szCs w:val="22"/>
        </w:rPr>
        <w:t xml:space="preserve"> fattore età incide sulle dinamiche migratorie.</w:t>
      </w:r>
      <w:r w:rsidR="001F24DC">
        <w:rPr>
          <w:rFonts w:ascii="Arial" w:hAnsi="Arial" w:cs="Arial"/>
          <w:iCs/>
          <w:sz w:val="22"/>
          <w:szCs w:val="22"/>
        </w:rPr>
        <w:t xml:space="preserve"> I saldi migratori calcolati nelle fasce di età dai 18 ai 24 anni e dai 65 anni e oltre evidenzia</w:t>
      </w:r>
      <w:r w:rsidR="00B971EF">
        <w:rPr>
          <w:rFonts w:ascii="Arial" w:hAnsi="Arial" w:cs="Arial"/>
          <w:iCs/>
          <w:sz w:val="22"/>
          <w:szCs w:val="22"/>
        </w:rPr>
        <w:t>no</w:t>
      </w:r>
      <w:r w:rsidR="001F24DC">
        <w:rPr>
          <w:rFonts w:ascii="Arial" w:hAnsi="Arial" w:cs="Arial"/>
          <w:iCs/>
          <w:sz w:val="22"/>
          <w:szCs w:val="22"/>
        </w:rPr>
        <w:t xml:space="preserve"> la maggiore attrattività delle regioni </w:t>
      </w:r>
      <w:r w:rsidR="00B971EF">
        <w:rPr>
          <w:rFonts w:ascii="Arial" w:hAnsi="Arial" w:cs="Arial"/>
          <w:iCs/>
          <w:sz w:val="22"/>
          <w:szCs w:val="22"/>
        </w:rPr>
        <w:t xml:space="preserve">del Centro-nord per i giovani migranti, mentre le regioni del Mezzogiorno presentano per i meno giovani saldi migratori molto contenuti e in alcuni casi positivi, come in Abruzzo e in Sardegna. </w:t>
      </w:r>
    </w:p>
    <w:p w14:paraId="6C572F79" w14:textId="6AA9FA10" w:rsidR="00B5185B" w:rsidRDefault="00B971EF" w:rsidP="00B5185B">
      <w:pPr>
        <w:spacing w:after="120"/>
        <w:jc w:val="both"/>
        <w:outlineLvl w:val="0"/>
        <w:rPr>
          <w:rFonts w:ascii="Arial" w:hAnsi="Arial" w:cs="Arial"/>
          <w:iCs/>
          <w:sz w:val="22"/>
          <w:szCs w:val="22"/>
        </w:rPr>
      </w:pPr>
      <w:r>
        <w:rPr>
          <w:rFonts w:ascii="Arial" w:hAnsi="Arial" w:cs="Arial"/>
          <w:iCs/>
          <w:sz w:val="22"/>
          <w:szCs w:val="22"/>
        </w:rPr>
        <w:t>A un maggior dettaglio territoriale, m</w:t>
      </w:r>
      <w:r w:rsidR="00BC4D4C" w:rsidRPr="00BC4D4C">
        <w:rPr>
          <w:rFonts w:ascii="Arial" w:hAnsi="Arial" w:cs="Arial"/>
          <w:iCs/>
          <w:sz w:val="22"/>
          <w:szCs w:val="22"/>
        </w:rPr>
        <w:t>olte province con saldi netti positivi nella fascia di età tra i 18 e i 24 anni mostrano un saldo netto negativo per gli adulti da 65</w:t>
      </w:r>
      <w:r w:rsidR="00B5185B">
        <w:rPr>
          <w:rFonts w:ascii="Arial" w:hAnsi="Arial" w:cs="Arial"/>
          <w:iCs/>
          <w:sz w:val="22"/>
          <w:szCs w:val="22"/>
        </w:rPr>
        <w:t xml:space="preserve"> anni e oltre</w:t>
      </w:r>
      <w:r w:rsidR="001D3DDF">
        <w:rPr>
          <w:rFonts w:ascii="Arial" w:hAnsi="Arial" w:cs="Arial"/>
          <w:iCs/>
          <w:sz w:val="22"/>
          <w:szCs w:val="22"/>
        </w:rPr>
        <w:t>: è il caso di</w:t>
      </w:r>
      <w:r w:rsidR="00B5185B">
        <w:rPr>
          <w:rFonts w:ascii="Arial" w:hAnsi="Arial" w:cs="Arial"/>
          <w:iCs/>
          <w:sz w:val="22"/>
          <w:szCs w:val="22"/>
        </w:rPr>
        <w:t xml:space="preserve"> </w:t>
      </w:r>
      <w:r w:rsidR="00BC4D4C" w:rsidRPr="00BC4D4C">
        <w:rPr>
          <w:rFonts w:ascii="Arial" w:hAnsi="Arial" w:cs="Arial"/>
          <w:iCs/>
          <w:sz w:val="22"/>
          <w:szCs w:val="22"/>
        </w:rPr>
        <w:t>Milano, Roma, Firenze e Venezia</w:t>
      </w:r>
      <w:r w:rsidR="001D3DDF">
        <w:rPr>
          <w:rFonts w:ascii="Arial" w:hAnsi="Arial" w:cs="Arial"/>
          <w:iCs/>
          <w:sz w:val="22"/>
          <w:szCs w:val="22"/>
        </w:rPr>
        <w:t>.</w:t>
      </w:r>
      <w:r w:rsidR="00BC4D4C" w:rsidRPr="00BC4D4C">
        <w:rPr>
          <w:rFonts w:ascii="Arial" w:hAnsi="Arial" w:cs="Arial"/>
          <w:iCs/>
          <w:sz w:val="22"/>
          <w:szCs w:val="22"/>
        </w:rPr>
        <w:t xml:space="preserve"> Viceversa, province come </w:t>
      </w:r>
      <w:r w:rsidR="00D03E9B">
        <w:rPr>
          <w:rFonts w:ascii="Arial" w:hAnsi="Arial" w:cs="Arial"/>
          <w:iCs/>
          <w:sz w:val="22"/>
          <w:szCs w:val="22"/>
        </w:rPr>
        <w:t xml:space="preserve">Asti, </w:t>
      </w:r>
      <w:r w:rsidR="00BC4D4C" w:rsidRPr="00BC4D4C">
        <w:rPr>
          <w:rFonts w:ascii="Arial" w:hAnsi="Arial" w:cs="Arial"/>
          <w:iCs/>
          <w:sz w:val="22"/>
          <w:szCs w:val="22"/>
        </w:rPr>
        <w:t xml:space="preserve">Vercelli, </w:t>
      </w:r>
      <w:r w:rsidR="00D03E9B">
        <w:rPr>
          <w:rFonts w:ascii="Arial" w:hAnsi="Arial" w:cs="Arial"/>
          <w:iCs/>
          <w:sz w:val="22"/>
          <w:szCs w:val="22"/>
        </w:rPr>
        <w:t xml:space="preserve">Oristano, </w:t>
      </w:r>
      <w:r w:rsidR="00B5185B">
        <w:rPr>
          <w:rFonts w:ascii="Arial" w:hAnsi="Arial" w:cs="Arial"/>
          <w:iCs/>
          <w:sz w:val="22"/>
          <w:szCs w:val="22"/>
        </w:rPr>
        <w:t>Viterbo</w:t>
      </w:r>
      <w:r w:rsidR="00BC4D4C" w:rsidRPr="00BC4D4C">
        <w:rPr>
          <w:rFonts w:ascii="Arial" w:hAnsi="Arial" w:cs="Arial"/>
          <w:iCs/>
          <w:sz w:val="22"/>
          <w:szCs w:val="22"/>
        </w:rPr>
        <w:t xml:space="preserve">, </w:t>
      </w:r>
      <w:r w:rsidR="00B5185B">
        <w:rPr>
          <w:rFonts w:ascii="Arial" w:hAnsi="Arial" w:cs="Arial"/>
          <w:iCs/>
          <w:sz w:val="22"/>
          <w:szCs w:val="22"/>
        </w:rPr>
        <w:t xml:space="preserve">Isernia e </w:t>
      </w:r>
      <w:r w:rsidR="00BC4D4C" w:rsidRPr="00BC4D4C">
        <w:rPr>
          <w:rFonts w:ascii="Arial" w:hAnsi="Arial" w:cs="Arial"/>
          <w:iCs/>
          <w:sz w:val="22"/>
          <w:szCs w:val="22"/>
        </w:rPr>
        <w:t xml:space="preserve">l’Aquila, caratterizzate da saldi negativi per i giovani, diventano attrattive per i più anziani. In generale, gli spostamenti sulla tradizionale direttrice Mezzogiorno/Centro-nord sono </w:t>
      </w:r>
      <w:r w:rsidR="00AE1C2A">
        <w:rPr>
          <w:rFonts w:ascii="Arial" w:hAnsi="Arial" w:cs="Arial"/>
          <w:iCs/>
          <w:sz w:val="22"/>
          <w:szCs w:val="22"/>
        </w:rPr>
        <w:t xml:space="preserve">tipici dei </w:t>
      </w:r>
      <w:r w:rsidR="00BC4D4C" w:rsidRPr="00BC4D4C">
        <w:rPr>
          <w:rFonts w:ascii="Arial" w:hAnsi="Arial" w:cs="Arial"/>
          <w:iCs/>
          <w:sz w:val="22"/>
          <w:szCs w:val="22"/>
        </w:rPr>
        <w:t>giovani mentre risultano più sfumati per gli over 65, i quali sono più propensi a spostarsi verso aree di provincia piuttosto che verso grandi centri urbani</w:t>
      </w:r>
      <w:r w:rsidR="00B5185B">
        <w:rPr>
          <w:rFonts w:ascii="Arial" w:hAnsi="Arial" w:cs="Arial"/>
          <w:iCs/>
          <w:sz w:val="22"/>
          <w:szCs w:val="22"/>
        </w:rPr>
        <w:t xml:space="preserve"> </w:t>
      </w:r>
      <w:r w:rsidR="00B5185B" w:rsidRPr="00BC4D4C">
        <w:rPr>
          <w:rFonts w:ascii="Arial" w:hAnsi="Arial" w:cs="Arial"/>
          <w:iCs/>
          <w:sz w:val="22"/>
          <w:szCs w:val="22"/>
        </w:rPr>
        <w:t xml:space="preserve">(Figura </w:t>
      </w:r>
      <w:r w:rsidR="001D3DDF">
        <w:rPr>
          <w:rFonts w:ascii="Arial" w:hAnsi="Arial" w:cs="Arial"/>
          <w:iCs/>
          <w:sz w:val="22"/>
          <w:szCs w:val="22"/>
        </w:rPr>
        <w:t>7</w:t>
      </w:r>
      <w:r w:rsidR="00B5185B" w:rsidRPr="00BC4D4C">
        <w:rPr>
          <w:rFonts w:ascii="Arial" w:hAnsi="Arial" w:cs="Arial"/>
          <w:iCs/>
          <w:sz w:val="22"/>
          <w:szCs w:val="22"/>
        </w:rPr>
        <w:t xml:space="preserve">). </w:t>
      </w:r>
    </w:p>
    <w:p w14:paraId="77A52394" w14:textId="77777777" w:rsidR="00A069BD" w:rsidRPr="00BC4D4C" w:rsidRDefault="00A069BD" w:rsidP="00B5185B">
      <w:pPr>
        <w:spacing w:after="120"/>
        <w:jc w:val="both"/>
        <w:outlineLvl w:val="0"/>
        <w:rPr>
          <w:rFonts w:ascii="Arial" w:hAnsi="Arial" w:cs="Arial"/>
          <w:iCs/>
          <w:sz w:val="22"/>
          <w:szCs w:val="22"/>
        </w:rPr>
      </w:pPr>
    </w:p>
    <w:p w14:paraId="26FF5AFF" w14:textId="133405E1" w:rsidR="003C1409" w:rsidRPr="00F37B10" w:rsidRDefault="003C1409" w:rsidP="003C1409">
      <w:pPr>
        <w:autoSpaceDE w:val="0"/>
        <w:autoSpaceDN w:val="0"/>
        <w:adjustRightInd w:val="0"/>
        <w:spacing w:after="120"/>
        <w:jc w:val="both"/>
        <w:rPr>
          <w:rFonts w:ascii="Arial" w:hAnsi="Arial" w:cs="Arial"/>
          <w:b/>
          <w:iCs/>
          <w:color w:val="1F497D" w:themeColor="text2"/>
          <w:sz w:val="26"/>
          <w:szCs w:val="26"/>
        </w:rPr>
      </w:pPr>
      <w:r>
        <w:rPr>
          <w:rFonts w:ascii="Arial" w:hAnsi="Arial" w:cs="Arial"/>
          <w:b/>
          <w:iCs/>
          <w:color w:val="1F497D" w:themeColor="text2"/>
          <w:sz w:val="26"/>
          <w:szCs w:val="26"/>
        </w:rPr>
        <w:t>Gli stranieri si spostano più degli italiani</w:t>
      </w:r>
      <w:r w:rsidR="001D2AAA">
        <w:rPr>
          <w:rFonts w:ascii="Arial" w:hAnsi="Arial" w:cs="Arial"/>
          <w:b/>
          <w:iCs/>
          <w:color w:val="1F497D" w:themeColor="text2"/>
          <w:sz w:val="26"/>
          <w:szCs w:val="26"/>
        </w:rPr>
        <w:t xml:space="preserve"> all’interno dei confini nazionali</w:t>
      </w:r>
    </w:p>
    <w:p w14:paraId="2D52BE95" w14:textId="01FAB1A8" w:rsidR="003C1409" w:rsidRDefault="003C1409" w:rsidP="003C1409">
      <w:pPr>
        <w:spacing w:after="120"/>
        <w:jc w:val="both"/>
        <w:outlineLvl w:val="0"/>
        <w:rPr>
          <w:rFonts w:ascii="Arial" w:hAnsi="Arial" w:cs="Arial"/>
          <w:iCs/>
          <w:sz w:val="22"/>
          <w:szCs w:val="22"/>
        </w:rPr>
      </w:pPr>
      <w:r w:rsidRPr="00BC4D4C">
        <w:rPr>
          <w:rFonts w:ascii="Arial" w:hAnsi="Arial" w:cs="Arial"/>
          <w:iCs/>
          <w:sz w:val="22"/>
          <w:szCs w:val="22"/>
        </w:rPr>
        <w:t>La mobilità residenziale coinvolge soprattutto gli italiani: su cinque persone che cambiano residenza quattro hanno cittadinanza italiana. Nel 201</w:t>
      </w:r>
      <w:r>
        <w:rPr>
          <w:rFonts w:ascii="Arial" w:hAnsi="Arial" w:cs="Arial"/>
          <w:iCs/>
          <w:sz w:val="22"/>
          <w:szCs w:val="22"/>
        </w:rPr>
        <w:t>8</w:t>
      </w:r>
      <w:r w:rsidRPr="00BC4D4C">
        <w:rPr>
          <w:rFonts w:ascii="Arial" w:hAnsi="Arial" w:cs="Arial"/>
          <w:iCs/>
          <w:sz w:val="22"/>
          <w:szCs w:val="22"/>
        </w:rPr>
        <w:t xml:space="preserve">, i cittadini italiani che si sono trasferiti all’interno del territorio sono </w:t>
      </w:r>
      <w:r>
        <w:rPr>
          <w:rFonts w:ascii="Arial" w:hAnsi="Arial" w:cs="Arial"/>
          <w:iCs/>
          <w:sz w:val="22"/>
          <w:szCs w:val="22"/>
        </w:rPr>
        <w:t>circa</w:t>
      </w:r>
      <w:r w:rsidRPr="00BC4D4C">
        <w:rPr>
          <w:rFonts w:ascii="Arial" w:hAnsi="Arial" w:cs="Arial"/>
          <w:iCs/>
          <w:sz w:val="22"/>
          <w:szCs w:val="22"/>
        </w:rPr>
        <w:t xml:space="preserve"> 1 milione 1</w:t>
      </w:r>
      <w:r>
        <w:rPr>
          <w:rFonts w:ascii="Arial" w:hAnsi="Arial" w:cs="Arial"/>
          <w:iCs/>
          <w:sz w:val="22"/>
          <w:szCs w:val="22"/>
        </w:rPr>
        <w:t>14</w:t>
      </w:r>
      <w:r w:rsidRPr="00BC4D4C">
        <w:rPr>
          <w:rFonts w:ascii="Arial" w:hAnsi="Arial" w:cs="Arial"/>
          <w:iCs/>
          <w:sz w:val="22"/>
          <w:szCs w:val="22"/>
        </w:rPr>
        <w:t xml:space="preserve"> mila contro </w:t>
      </w:r>
      <w:r w:rsidR="00C526BD">
        <w:rPr>
          <w:rFonts w:ascii="Arial" w:hAnsi="Arial" w:cs="Arial"/>
          <w:iCs/>
          <w:sz w:val="22"/>
          <w:szCs w:val="22"/>
        </w:rPr>
        <w:t>244</w:t>
      </w:r>
      <w:r w:rsidRPr="00BC4D4C">
        <w:rPr>
          <w:rFonts w:ascii="Arial" w:hAnsi="Arial" w:cs="Arial"/>
          <w:iCs/>
          <w:sz w:val="22"/>
          <w:szCs w:val="22"/>
        </w:rPr>
        <w:t xml:space="preserve"> mila stranieri</w:t>
      </w:r>
      <w:r w:rsidR="001D2AAA">
        <w:rPr>
          <w:rFonts w:ascii="Arial" w:hAnsi="Arial" w:cs="Arial"/>
          <w:iCs/>
          <w:sz w:val="22"/>
          <w:szCs w:val="22"/>
        </w:rPr>
        <w:t>, questi ultimi in aumento rispetto al 2017</w:t>
      </w:r>
      <w:r w:rsidRPr="00BC4D4C">
        <w:rPr>
          <w:rFonts w:ascii="Arial" w:hAnsi="Arial" w:cs="Arial"/>
          <w:iCs/>
          <w:sz w:val="22"/>
          <w:szCs w:val="22"/>
        </w:rPr>
        <w:t xml:space="preserve"> (+</w:t>
      </w:r>
      <w:r>
        <w:rPr>
          <w:rFonts w:ascii="Arial" w:hAnsi="Arial" w:cs="Arial"/>
          <w:iCs/>
          <w:sz w:val="22"/>
          <w:szCs w:val="22"/>
        </w:rPr>
        <w:t>5</w:t>
      </w:r>
      <w:r w:rsidRPr="00BC4D4C">
        <w:rPr>
          <w:rFonts w:ascii="Arial" w:hAnsi="Arial" w:cs="Arial"/>
          <w:iCs/>
          <w:sz w:val="22"/>
          <w:szCs w:val="22"/>
        </w:rPr>
        <w:t>%</w:t>
      </w:r>
      <w:r w:rsidR="001D2AAA">
        <w:rPr>
          <w:rFonts w:ascii="Arial" w:hAnsi="Arial" w:cs="Arial"/>
          <w:iCs/>
          <w:sz w:val="22"/>
          <w:szCs w:val="22"/>
        </w:rPr>
        <w:t>)</w:t>
      </w:r>
      <w:r w:rsidRPr="00BC4D4C">
        <w:rPr>
          <w:rFonts w:ascii="Arial" w:hAnsi="Arial" w:cs="Arial"/>
          <w:iCs/>
          <w:sz w:val="22"/>
          <w:szCs w:val="22"/>
        </w:rPr>
        <w:t xml:space="preserve">. Tuttavia, la propensione alla mobilità interna degli stranieri (data dal </w:t>
      </w:r>
      <w:r w:rsidR="00382793">
        <w:rPr>
          <w:rFonts w:ascii="Arial" w:hAnsi="Arial" w:cs="Arial"/>
          <w:iCs/>
          <w:sz w:val="22"/>
          <w:szCs w:val="22"/>
        </w:rPr>
        <w:t xml:space="preserve">rapporto tra il </w:t>
      </w:r>
      <w:r w:rsidRPr="00BC4D4C">
        <w:rPr>
          <w:rFonts w:ascii="Arial" w:hAnsi="Arial" w:cs="Arial"/>
          <w:iCs/>
          <w:sz w:val="22"/>
          <w:szCs w:val="22"/>
        </w:rPr>
        <w:t xml:space="preserve">numero di trasferimenti interni di cittadini stranieri </w:t>
      </w:r>
      <w:r w:rsidR="00DD5891">
        <w:rPr>
          <w:rFonts w:ascii="Arial" w:hAnsi="Arial" w:cs="Arial"/>
          <w:iCs/>
          <w:sz w:val="22"/>
          <w:szCs w:val="22"/>
        </w:rPr>
        <w:t xml:space="preserve">e </w:t>
      </w:r>
      <w:r w:rsidRPr="00BC4D4C">
        <w:rPr>
          <w:rFonts w:ascii="Arial" w:hAnsi="Arial" w:cs="Arial"/>
          <w:iCs/>
          <w:sz w:val="22"/>
          <w:szCs w:val="22"/>
        </w:rPr>
        <w:t>la popolazione residente straniera) è più del doppio di quella degli italiani</w:t>
      </w:r>
      <w:r w:rsidR="001D3DDF">
        <w:rPr>
          <w:rFonts w:ascii="Arial" w:hAnsi="Arial" w:cs="Arial"/>
          <w:iCs/>
          <w:sz w:val="22"/>
          <w:szCs w:val="22"/>
        </w:rPr>
        <w:t xml:space="preserve">: </w:t>
      </w:r>
      <w:r w:rsidRPr="00BC4D4C">
        <w:rPr>
          <w:rFonts w:ascii="Arial" w:hAnsi="Arial" w:cs="Arial"/>
          <w:iCs/>
          <w:sz w:val="22"/>
          <w:szCs w:val="22"/>
        </w:rPr>
        <w:t xml:space="preserve">il tasso di mobilità interna è </w:t>
      </w:r>
      <w:r w:rsidR="001D3DDF">
        <w:rPr>
          <w:rFonts w:ascii="Arial" w:hAnsi="Arial" w:cs="Arial"/>
          <w:iCs/>
          <w:sz w:val="22"/>
          <w:szCs w:val="22"/>
        </w:rPr>
        <w:t xml:space="preserve">al </w:t>
      </w:r>
      <w:r w:rsidRPr="00BC4D4C">
        <w:rPr>
          <w:rFonts w:ascii="Arial" w:hAnsi="Arial" w:cs="Arial"/>
          <w:iCs/>
          <w:sz w:val="22"/>
          <w:szCs w:val="22"/>
        </w:rPr>
        <w:t>4,</w:t>
      </w:r>
      <w:r>
        <w:rPr>
          <w:rFonts w:ascii="Arial" w:hAnsi="Arial" w:cs="Arial"/>
          <w:iCs/>
          <w:sz w:val="22"/>
          <w:szCs w:val="22"/>
        </w:rPr>
        <w:t>7</w:t>
      </w:r>
      <w:r w:rsidRPr="00BC4D4C">
        <w:rPr>
          <w:rFonts w:ascii="Arial" w:hAnsi="Arial" w:cs="Arial"/>
          <w:iCs/>
          <w:sz w:val="22"/>
          <w:szCs w:val="22"/>
        </w:rPr>
        <w:t xml:space="preserve">% per gli stranieri, </w:t>
      </w:r>
      <w:r w:rsidR="001D3DDF">
        <w:rPr>
          <w:rFonts w:ascii="Arial" w:hAnsi="Arial" w:cs="Arial"/>
          <w:iCs/>
          <w:sz w:val="22"/>
          <w:szCs w:val="22"/>
        </w:rPr>
        <w:t xml:space="preserve">al </w:t>
      </w:r>
      <w:r w:rsidRPr="00BC4D4C">
        <w:rPr>
          <w:rFonts w:ascii="Arial" w:hAnsi="Arial" w:cs="Arial"/>
          <w:iCs/>
          <w:sz w:val="22"/>
          <w:szCs w:val="22"/>
        </w:rPr>
        <w:t>2%</w:t>
      </w:r>
      <w:r w:rsidR="001D3DDF">
        <w:rPr>
          <w:rFonts w:ascii="Arial" w:hAnsi="Arial" w:cs="Arial"/>
          <w:iCs/>
          <w:sz w:val="22"/>
          <w:szCs w:val="22"/>
        </w:rPr>
        <w:t xml:space="preserve"> </w:t>
      </w:r>
      <w:r w:rsidRPr="00BC4D4C">
        <w:rPr>
          <w:rFonts w:ascii="Arial" w:hAnsi="Arial" w:cs="Arial"/>
          <w:iCs/>
          <w:sz w:val="22"/>
          <w:szCs w:val="22"/>
        </w:rPr>
        <w:t xml:space="preserve">per gli italiani. </w:t>
      </w:r>
    </w:p>
    <w:p w14:paraId="072CD960" w14:textId="77777777" w:rsidR="00574462" w:rsidRDefault="00574462" w:rsidP="00BC4D4C">
      <w:pPr>
        <w:spacing w:after="120"/>
        <w:jc w:val="both"/>
        <w:outlineLvl w:val="0"/>
        <w:rPr>
          <w:rFonts w:ascii="Arial" w:hAnsi="Arial" w:cs="Arial"/>
          <w:iCs/>
          <w:sz w:val="22"/>
          <w:szCs w:val="22"/>
        </w:rPr>
      </w:pPr>
    </w:p>
    <w:p w14:paraId="3D7C3195" w14:textId="77777777" w:rsidR="0098125E" w:rsidRDefault="0098125E" w:rsidP="00BC4D4C">
      <w:pPr>
        <w:spacing w:after="120"/>
        <w:jc w:val="both"/>
        <w:outlineLvl w:val="0"/>
        <w:rPr>
          <w:rFonts w:ascii="Arial" w:hAnsi="Arial" w:cs="Arial"/>
          <w:iCs/>
          <w:sz w:val="22"/>
          <w:szCs w:val="22"/>
        </w:rPr>
      </w:pPr>
    </w:p>
    <w:p w14:paraId="08422B35" w14:textId="77777777" w:rsidR="0033327B" w:rsidRPr="009718E2" w:rsidRDefault="0033327B" w:rsidP="00BC4D4C">
      <w:pPr>
        <w:spacing w:after="120"/>
        <w:jc w:val="both"/>
        <w:outlineLvl w:val="0"/>
        <w:rPr>
          <w:rFonts w:ascii="Arial" w:hAnsi="Arial" w:cs="Arial"/>
          <w:iCs/>
          <w:sz w:val="14"/>
          <w:szCs w:val="22"/>
        </w:rPr>
      </w:pPr>
    </w:p>
    <w:p w14:paraId="1DC48FD0" w14:textId="4A2B9450" w:rsidR="00435851" w:rsidRDefault="00A86864" w:rsidP="00A86864">
      <w:pPr>
        <w:rPr>
          <w:rFonts w:ascii="Arial Narrow" w:hAnsi="Arial Narrow" w:cs="Arial"/>
          <w:b/>
          <w:iCs/>
          <w:noProof/>
          <w:color w:val="1F497D" w:themeColor="text2"/>
          <w:sz w:val="22"/>
          <w:szCs w:val="22"/>
        </w:rPr>
      </w:pPr>
      <w:r w:rsidRPr="005D02DA">
        <w:rPr>
          <w:rFonts w:ascii="Arial Black" w:hAnsi="Arial Black" w:cs="Arial"/>
          <w:iCs/>
          <w:noProof/>
          <w:color w:val="1F497D" w:themeColor="text2"/>
          <w:sz w:val="22"/>
          <w:szCs w:val="22"/>
        </w:rPr>
        <w:t xml:space="preserve">FIGURA </w:t>
      </w:r>
      <w:r w:rsidR="001D3DDF">
        <w:rPr>
          <w:rFonts w:ascii="Arial Black" w:hAnsi="Arial Black" w:cs="Arial"/>
          <w:iCs/>
          <w:noProof/>
          <w:color w:val="1F497D" w:themeColor="text2"/>
          <w:sz w:val="22"/>
          <w:szCs w:val="22"/>
        </w:rPr>
        <w:t>7</w:t>
      </w:r>
      <w:r w:rsidRPr="005D02DA">
        <w:rPr>
          <w:rFonts w:ascii="Arial Black" w:hAnsi="Arial Black" w:cs="Arial"/>
          <w:iCs/>
          <w:noProof/>
          <w:color w:val="1F497D" w:themeColor="text2"/>
          <w:sz w:val="22"/>
          <w:szCs w:val="22"/>
        </w:rPr>
        <w:t>.</w:t>
      </w:r>
      <w:r w:rsidRPr="005D02DA">
        <w:rPr>
          <w:rFonts w:ascii="Arial Narrow" w:hAnsi="Arial Narrow" w:cs="Arial"/>
          <w:b/>
          <w:iCs/>
          <w:noProof/>
          <w:color w:val="1F497D" w:themeColor="text2"/>
          <w:sz w:val="22"/>
          <w:szCs w:val="22"/>
        </w:rPr>
        <w:t xml:space="preserve"> </w:t>
      </w:r>
      <w:r>
        <w:rPr>
          <w:rFonts w:ascii="Arial Narrow" w:hAnsi="Arial Narrow" w:cs="Arial"/>
          <w:b/>
          <w:iCs/>
          <w:noProof/>
          <w:color w:val="1F497D" w:themeColor="text2"/>
          <w:sz w:val="22"/>
          <w:szCs w:val="22"/>
        </w:rPr>
        <w:t>SALDI MIGRATORI NELLE FASCE DI ET</w:t>
      </w:r>
      <w:r w:rsidR="00277638">
        <w:rPr>
          <w:rFonts w:ascii="Arial Narrow" w:hAnsi="Arial Narrow" w:cs="Arial"/>
          <w:b/>
          <w:iCs/>
          <w:noProof/>
          <w:color w:val="1F497D" w:themeColor="text2"/>
          <w:sz w:val="22"/>
          <w:szCs w:val="22"/>
        </w:rPr>
        <w:t>À</w:t>
      </w:r>
      <w:r>
        <w:rPr>
          <w:rFonts w:ascii="Arial Narrow" w:hAnsi="Arial Narrow" w:cs="Arial"/>
          <w:b/>
          <w:iCs/>
          <w:noProof/>
          <w:color w:val="1F497D" w:themeColor="text2"/>
          <w:sz w:val="22"/>
          <w:szCs w:val="22"/>
        </w:rPr>
        <w:t xml:space="preserve"> 18-24 E 65 E OLTRE</w:t>
      </w:r>
      <w:r w:rsidR="001F24DC">
        <w:rPr>
          <w:rFonts w:ascii="Arial Narrow" w:hAnsi="Arial Narrow" w:cs="Arial"/>
          <w:b/>
          <w:iCs/>
          <w:noProof/>
          <w:color w:val="1F497D" w:themeColor="text2"/>
          <w:sz w:val="22"/>
          <w:szCs w:val="22"/>
        </w:rPr>
        <w:t>, PER REGIONE</w:t>
      </w:r>
    </w:p>
    <w:p w14:paraId="7378AA96" w14:textId="7C004942" w:rsidR="00563663" w:rsidRDefault="00A86864" w:rsidP="00A86864">
      <w:pPr>
        <w:rPr>
          <w:rFonts w:ascii="Arial Narrow" w:hAnsi="Arial Narrow" w:cs="Arial"/>
          <w:iCs/>
          <w:noProof/>
          <w:color w:val="1F497D" w:themeColor="text2"/>
          <w:sz w:val="22"/>
          <w:szCs w:val="22"/>
        </w:rPr>
      </w:pPr>
      <w:r w:rsidRPr="003F4D0E">
        <w:rPr>
          <w:rFonts w:ascii="Arial Narrow" w:hAnsi="Arial Narrow" w:cs="Arial"/>
          <w:iCs/>
          <w:noProof/>
          <w:color w:val="1F497D" w:themeColor="text2"/>
          <w:sz w:val="22"/>
          <w:szCs w:val="22"/>
        </w:rPr>
        <w:t>Ann</w:t>
      </w:r>
      <w:r>
        <w:rPr>
          <w:rFonts w:ascii="Arial Narrow" w:hAnsi="Arial Narrow" w:cs="Arial"/>
          <w:iCs/>
          <w:noProof/>
          <w:color w:val="1F497D" w:themeColor="text2"/>
          <w:sz w:val="22"/>
          <w:szCs w:val="22"/>
        </w:rPr>
        <w:t>o</w:t>
      </w:r>
      <w:r w:rsidR="00C526BD">
        <w:rPr>
          <w:rFonts w:ascii="Arial Narrow" w:hAnsi="Arial Narrow" w:cs="Arial"/>
          <w:iCs/>
          <w:noProof/>
          <w:color w:val="1F497D" w:themeColor="text2"/>
          <w:sz w:val="22"/>
          <w:szCs w:val="22"/>
        </w:rPr>
        <w:t xml:space="preserve"> </w:t>
      </w:r>
      <w:r w:rsidRPr="003F4D0E">
        <w:rPr>
          <w:rFonts w:ascii="Arial Narrow" w:hAnsi="Arial Narrow" w:cs="Arial"/>
          <w:iCs/>
          <w:noProof/>
          <w:color w:val="1F497D" w:themeColor="text2"/>
          <w:sz w:val="22"/>
          <w:szCs w:val="22"/>
        </w:rPr>
        <w:t>201</w:t>
      </w:r>
      <w:r>
        <w:rPr>
          <w:rFonts w:ascii="Arial Narrow" w:hAnsi="Arial Narrow" w:cs="Arial"/>
          <w:iCs/>
          <w:noProof/>
          <w:color w:val="1F497D" w:themeColor="text2"/>
          <w:sz w:val="22"/>
          <w:szCs w:val="22"/>
        </w:rPr>
        <w:t>8</w:t>
      </w:r>
      <w:r w:rsidR="001F24DC">
        <w:rPr>
          <w:rFonts w:ascii="Arial Narrow" w:hAnsi="Arial Narrow" w:cs="Arial"/>
          <w:iCs/>
          <w:noProof/>
          <w:color w:val="1F497D" w:themeColor="text2"/>
          <w:sz w:val="22"/>
          <w:szCs w:val="22"/>
        </w:rPr>
        <w:t>. Valori in migliaia</w:t>
      </w:r>
    </w:p>
    <w:p w14:paraId="2FED8288" w14:textId="77777777" w:rsidR="00435851" w:rsidRPr="009718E2" w:rsidRDefault="00435851" w:rsidP="00A86864">
      <w:pPr>
        <w:rPr>
          <w:rFonts w:ascii="Arial Narrow" w:hAnsi="Arial Narrow" w:cs="Arial"/>
          <w:iCs/>
          <w:noProof/>
          <w:color w:val="1F497D" w:themeColor="text2"/>
          <w:sz w:val="16"/>
          <w:szCs w:val="22"/>
        </w:rPr>
      </w:pPr>
    </w:p>
    <w:p w14:paraId="0DF200D2" w14:textId="58CEE3DA" w:rsidR="003C1409" w:rsidRDefault="001F24DC" w:rsidP="00A86864">
      <w:pPr>
        <w:rPr>
          <w:rFonts w:ascii="Arial" w:hAnsi="Arial" w:cs="Arial"/>
          <w:iCs/>
          <w:sz w:val="22"/>
          <w:szCs w:val="22"/>
        </w:rPr>
      </w:pPr>
      <w:r>
        <w:rPr>
          <w:noProof/>
        </w:rPr>
        <w:drawing>
          <wp:inline distT="0" distB="0" distL="0" distR="0" wp14:anchorId="1407F7B1" wp14:editId="5C53322A">
            <wp:extent cx="6400800" cy="2343150"/>
            <wp:effectExtent l="0" t="0" r="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3E8ED3" w14:textId="6B997EFC" w:rsidR="00563663" w:rsidRPr="00BC4D4C" w:rsidRDefault="00563663" w:rsidP="00A86864">
      <w:pPr>
        <w:spacing w:after="120"/>
        <w:jc w:val="center"/>
        <w:outlineLvl w:val="0"/>
        <w:rPr>
          <w:rFonts w:ascii="Arial" w:hAnsi="Arial" w:cs="Arial"/>
          <w:iCs/>
          <w:sz w:val="22"/>
          <w:szCs w:val="22"/>
        </w:rPr>
      </w:pPr>
    </w:p>
    <w:p w14:paraId="238EA76A" w14:textId="51D4A126" w:rsidR="003C1409" w:rsidRPr="00977842" w:rsidRDefault="003C1409" w:rsidP="00977842">
      <w:pPr>
        <w:autoSpaceDE w:val="0"/>
        <w:autoSpaceDN w:val="0"/>
        <w:adjustRightInd w:val="0"/>
        <w:spacing w:after="120"/>
        <w:jc w:val="both"/>
        <w:rPr>
          <w:rFonts w:ascii="Arial" w:hAnsi="Arial" w:cs="Arial"/>
          <w:b/>
          <w:iCs/>
          <w:color w:val="1F497D" w:themeColor="text2"/>
          <w:sz w:val="26"/>
          <w:szCs w:val="26"/>
        </w:rPr>
      </w:pPr>
      <w:r w:rsidRPr="00977842">
        <w:rPr>
          <w:rFonts w:ascii="Arial" w:hAnsi="Arial" w:cs="Arial"/>
          <w:b/>
          <w:iCs/>
          <w:color w:val="1F497D" w:themeColor="text2"/>
          <w:sz w:val="26"/>
          <w:szCs w:val="26"/>
        </w:rPr>
        <w:t>Le regioni del Mezzogiorno perdono risorse qualificate</w:t>
      </w:r>
    </w:p>
    <w:p w14:paraId="5E2425C0" w14:textId="6851BB6A" w:rsidR="00DA4DAE" w:rsidRDefault="00DA4DAE" w:rsidP="00DA4DAE">
      <w:pPr>
        <w:spacing w:after="120"/>
        <w:jc w:val="both"/>
        <w:outlineLvl w:val="0"/>
        <w:rPr>
          <w:rFonts w:ascii="Arial" w:hAnsi="Arial" w:cs="Arial"/>
          <w:iCs/>
          <w:sz w:val="22"/>
          <w:szCs w:val="22"/>
        </w:rPr>
      </w:pPr>
      <w:r w:rsidRPr="00DA4DAE">
        <w:rPr>
          <w:rFonts w:ascii="Arial" w:hAnsi="Arial" w:cs="Arial"/>
          <w:iCs/>
          <w:sz w:val="22"/>
          <w:szCs w:val="22"/>
        </w:rPr>
        <w:t>Nel 201</w:t>
      </w:r>
      <w:r w:rsidR="00EB680C">
        <w:rPr>
          <w:rFonts w:ascii="Arial" w:hAnsi="Arial" w:cs="Arial"/>
          <w:iCs/>
          <w:sz w:val="22"/>
          <w:szCs w:val="22"/>
        </w:rPr>
        <w:t>8</w:t>
      </w:r>
      <w:r w:rsidRPr="00DA4DAE">
        <w:rPr>
          <w:rFonts w:ascii="Arial" w:hAnsi="Arial" w:cs="Arial"/>
          <w:iCs/>
          <w:sz w:val="22"/>
          <w:szCs w:val="22"/>
        </w:rPr>
        <w:t xml:space="preserve"> </w:t>
      </w:r>
      <w:r w:rsidR="001D2AAA">
        <w:rPr>
          <w:rFonts w:ascii="Arial" w:hAnsi="Arial" w:cs="Arial"/>
          <w:iCs/>
          <w:sz w:val="22"/>
          <w:szCs w:val="22"/>
        </w:rPr>
        <w:t>i</w:t>
      </w:r>
      <w:r w:rsidR="001D2AAA" w:rsidRPr="00DA4DAE">
        <w:rPr>
          <w:rFonts w:ascii="Arial" w:hAnsi="Arial" w:cs="Arial"/>
          <w:iCs/>
          <w:sz w:val="22"/>
          <w:szCs w:val="22"/>
        </w:rPr>
        <w:t xml:space="preserve">l </w:t>
      </w:r>
      <w:r w:rsidRPr="00DA4DAE">
        <w:rPr>
          <w:rFonts w:ascii="Arial" w:hAnsi="Arial" w:cs="Arial"/>
          <w:iCs/>
          <w:sz w:val="22"/>
          <w:szCs w:val="22"/>
        </w:rPr>
        <w:t xml:space="preserve">numero di trasferimenti </w:t>
      </w:r>
      <w:r w:rsidRPr="00DA4DAE">
        <w:rPr>
          <w:rFonts w:ascii="Arial" w:hAnsi="Arial" w:cs="Arial"/>
          <w:i/>
          <w:iCs/>
          <w:sz w:val="22"/>
          <w:szCs w:val="22"/>
        </w:rPr>
        <w:t>interregionali</w:t>
      </w:r>
      <w:r w:rsidRPr="00DA4DAE">
        <w:rPr>
          <w:rFonts w:ascii="Arial" w:hAnsi="Arial" w:cs="Arial"/>
          <w:iCs/>
          <w:sz w:val="22"/>
          <w:szCs w:val="22"/>
        </w:rPr>
        <w:t xml:space="preserve"> è pari a 3</w:t>
      </w:r>
      <w:r>
        <w:rPr>
          <w:rFonts w:ascii="Arial" w:hAnsi="Arial" w:cs="Arial"/>
          <w:iCs/>
          <w:sz w:val="22"/>
          <w:szCs w:val="22"/>
        </w:rPr>
        <w:t>3</w:t>
      </w:r>
      <w:r w:rsidRPr="00DA4DAE">
        <w:rPr>
          <w:rFonts w:ascii="Arial" w:hAnsi="Arial" w:cs="Arial"/>
          <w:iCs/>
          <w:sz w:val="22"/>
          <w:szCs w:val="22"/>
        </w:rPr>
        <w:t>2.</w:t>
      </w:r>
      <w:r>
        <w:rPr>
          <w:rFonts w:ascii="Arial" w:hAnsi="Arial" w:cs="Arial"/>
          <w:iCs/>
          <w:sz w:val="22"/>
          <w:szCs w:val="22"/>
        </w:rPr>
        <w:t>188</w:t>
      </w:r>
      <w:r w:rsidRPr="00DA4DAE">
        <w:rPr>
          <w:rFonts w:ascii="Arial" w:hAnsi="Arial" w:cs="Arial"/>
          <w:iCs/>
          <w:sz w:val="22"/>
          <w:szCs w:val="22"/>
        </w:rPr>
        <w:t xml:space="preserve"> (</w:t>
      </w:r>
      <w:r>
        <w:rPr>
          <w:rFonts w:ascii="Arial" w:hAnsi="Arial" w:cs="Arial"/>
          <w:iCs/>
          <w:sz w:val="22"/>
          <w:szCs w:val="22"/>
        </w:rPr>
        <w:t>25</w:t>
      </w:r>
      <w:r w:rsidRPr="00DA4DAE">
        <w:rPr>
          <w:rFonts w:ascii="Arial" w:hAnsi="Arial" w:cs="Arial"/>
          <w:iCs/>
          <w:sz w:val="22"/>
          <w:szCs w:val="22"/>
        </w:rPr>
        <w:t xml:space="preserve">% del totale dei trasferimenti), in </w:t>
      </w:r>
      <w:r>
        <w:rPr>
          <w:rFonts w:ascii="Arial" w:hAnsi="Arial" w:cs="Arial"/>
          <w:iCs/>
          <w:sz w:val="22"/>
          <w:szCs w:val="22"/>
        </w:rPr>
        <w:t>lieve aumento ri</w:t>
      </w:r>
      <w:r w:rsidRPr="00DA4DAE">
        <w:rPr>
          <w:rFonts w:ascii="Arial" w:hAnsi="Arial" w:cs="Arial"/>
          <w:iCs/>
          <w:sz w:val="22"/>
          <w:szCs w:val="22"/>
        </w:rPr>
        <w:t>spetto all’anno precedente (</w:t>
      </w:r>
      <w:r>
        <w:rPr>
          <w:rFonts w:ascii="Arial" w:hAnsi="Arial" w:cs="Arial"/>
          <w:iCs/>
          <w:sz w:val="22"/>
          <w:szCs w:val="22"/>
        </w:rPr>
        <w:t>322</w:t>
      </w:r>
      <w:r w:rsidRPr="00DA4DAE">
        <w:rPr>
          <w:rFonts w:ascii="Arial" w:hAnsi="Arial" w:cs="Arial"/>
          <w:iCs/>
          <w:sz w:val="22"/>
          <w:szCs w:val="22"/>
        </w:rPr>
        <w:t xml:space="preserve"> mila</w:t>
      </w:r>
      <w:r w:rsidR="00533F04">
        <w:rPr>
          <w:rFonts w:ascii="Arial" w:hAnsi="Arial" w:cs="Arial"/>
          <w:iCs/>
          <w:sz w:val="22"/>
          <w:szCs w:val="22"/>
        </w:rPr>
        <w:t>)</w:t>
      </w:r>
      <w:r>
        <w:rPr>
          <w:rFonts w:ascii="Arial" w:hAnsi="Arial" w:cs="Arial"/>
          <w:iCs/>
          <w:sz w:val="22"/>
          <w:szCs w:val="22"/>
        </w:rPr>
        <w:t xml:space="preserve">. </w:t>
      </w:r>
      <w:r w:rsidRPr="00DA4DAE">
        <w:rPr>
          <w:rFonts w:ascii="Arial" w:hAnsi="Arial" w:cs="Arial"/>
          <w:iCs/>
          <w:sz w:val="22"/>
          <w:szCs w:val="22"/>
        </w:rPr>
        <w:t>Gli spostamenti</w:t>
      </w:r>
      <w:r w:rsidR="00533F04">
        <w:rPr>
          <w:rFonts w:ascii="Arial" w:hAnsi="Arial" w:cs="Arial"/>
          <w:iCs/>
          <w:sz w:val="22"/>
          <w:szCs w:val="22"/>
        </w:rPr>
        <w:t xml:space="preserve"> </w:t>
      </w:r>
      <w:r w:rsidRPr="00DA4DAE">
        <w:rPr>
          <w:rFonts w:ascii="Arial" w:hAnsi="Arial" w:cs="Arial"/>
          <w:iCs/>
          <w:sz w:val="22"/>
          <w:szCs w:val="22"/>
        </w:rPr>
        <w:t xml:space="preserve">interregionali di maggiore interesse riguardano la direttrice che parte dal Mezzogiorno e si dirige al Centro-nord. </w:t>
      </w:r>
      <w:r w:rsidR="001D3DDF">
        <w:rPr>
          <w:rFonts w:ascii="Arial" w:hAnsi="Arial" w:cs="Arial"/>
          <w:iCs/>
          <w:sz w:val="22"/>
          <w:szCs w:val="22"/>
        </w:rPr>
        <w:t>S</w:t>
      </w:r>
      <w:r w:rsidRPr="00DA4DAE">
        <w:rPr>
          <w:rFonts w:ascii="Arial" w:hAnsi="Arial" w:cs="Arial"/>
          <w:iCs/>
          <w:sz w:val="22"/>
          <w:szCs w:val="22"/>
        </w:rPr>
        <w:t xml:space="preserve">ono </w:t>
      </w:r>
      <w:r w:rsidR="00533F04">
        <w:rPr>
          <w:rFonts w:ascii="Arial" w:hAnsi="Arial" w:cs="Arial"/>
          <w:iCs/>
          <w:sz w:val="22"/>
          <w:szCs w:val="22"/>
        </w:rPr>
        <w:t>oltre 117</w:t>
      </w:r>
      <w:r w:rsidRPr="00DA4DAE">
        <w:rPr>
          <w:rFonts w:ascii="Arial" w:hAnsi="Arial" w:cs="Arial"/>
          <w:iCs/>
          <w:sz w:val="22"/>
          <w:szCs w:val="22"/>
        </w:rPr>
        <w:t xml:space="preserve"> mila i movimenti da Sud e Isole che hanno come destinazione le regioni del Centro e del Nord</w:t>
      </w:r>
      <w:r w:rsidR="00533F04">
        <w:rPr>
          <w:rFonts w:ascii="Arial" w:hAnsi="Arial" w:cs="Arial"/>
          <w:iCs/>
          <w:sz w:val="22"/>
          <w:szCs w:val="22"/>
        </w:rPr>
        <w:t xml:space="preserve"> (+7% rispetto al 2017)</w:t>
      </w:r>
      <w:r w:rsidRPr="00DA4DAE">
        <w:rPr>
          <w:rFonts w:ascii="Arial" w:hAnsi="Arial" w:cs="Arial"/>
          <w:iCs/>
          <w:sz w:val="22"/>
          <w:szCs w:val="22"/>
        </w:rPr>
        <w:t>; di un certo rilievo sono anche i trasferimenti sulla rotta ‘inversa’ (</w:t>
      </w:r>
      <w:r w:rsidR="00533F04">
        <w:rPr>
          <w:rFonts w:ascii="Arial" w:hAnsi="Arial" w:cs="Arial"/>
          <w:iCs/>
          <w:sz w:val="22"/>
          <w:szCs w:val="22"/>
        </w:rPr>
        <w:t>55</w:t>
      </w:r>
      <w:r w:rsidRPr="00DA4DAE">
        <w:rPr>
          <w:rFonts w:ascii="Arial" w:hAnsi="Arial" w:cs="Arial"/>
          <w:iCs/>
          <w:sz w:val="22"/>
          <w:szCs w:val="22"/>
        </w:rPr>
        <w:t xml:space="preserve"> mila), dal Centro-nord al Mezzogiorno: la perdita netta </w:t>
      </w:r>
      <w:r w:rsidR="00DE0EA0">
        <w:rPr>
          <w:rFonts w:ascii="Arial" w:hAnsi="Arial" w:cs="Arial"/>
          <w:iCs/>
          <w:sz w:val="22"/>
          <w:szCs w:val="22"/>
        </w:rPr>
        <w:t xml:space="preserve">di popolazione </w:t>
      </w:r>
      <w:r w:rsidRPr="00DA4DAE">
        <w:rPr>
          <w:rFonts w:ascii="Arial" w:hAnsi="Arial" w:cs="Arial"/>
          <w:iCs/>
          <w:sz w:val="22"/>
          <w:szCs w:val="22"/>
        </w:rPr>
        <w:t xml:space="preserve">calcolata per la ripartizione meridionale è quindi di circa </w:t>
      </w:r>
      <w:r w:rsidR="00533F04">
        <w:rPr>
          <w:rFonts w:ascii="Arial" w:hAnsi="Arial" w:cs="Arial"/>
          <w:iCs/>
          <w:sz w:val="22"/>
          <w:szCs w:val="22"/>
        </w:rPr>
        <w:t>62</w:t>
      </w:r>
      <w:r w:rsidR="00DE0EA0">
        <w:rPr>
          <w:rFonts w:ascii="Arial" w:hAnsi="Arial" w:cs="Arial"/>
          <w:iCs/>
          <w:sz w:val="22"/>
          <w:szCs w:val="22"/>
        </w:rPr>
        <w:t xml:space="preserve"> mila residenti</w:t>
      </w:r>
      <w:r w:rsidR="00371DB8">
        <w:rPr>
          <w:rFonts w:ascii="Arial" w:hAnsi="Arial" w:cs="Arial"/>
          <w:iCs/>
          <w:sz w:val="22"/>
          <w:szCs w:val="22"/>
        </w:rPr>
        <w:t xml:space="preserve"> nel 2018</w:t>
      </w:r>
      <w:r w:rsidR="00DE0EA0">
        <w:rPr>
          <w:rFonts w:ascii="Arial" w:hAnsi="Arial" w:cs="Arial"/>
          <w:iCs/>
          <w:sz w:val="22"/>
          <w:szCs w:val="22"/>
        </w:rPr>
        <w:t>, di cui 47 mila di 25 anni e più.</w:t>
      </w:r>
    </w:p>
    <w:p w14:paraId="54D1DC7B" w14:textId="0CB1178A" w:rsidR="006511E5" w:rsidRDefault="00F70341" w:rsidP="00FF60F0">
      <w:pPr>
        <w:spacing w:after="120"/>
        <w:jc w:val="both"/>
        <w:outlineLvl w:val="0"/>
        <w:rPr>
          <w:rFonts w:ascii="Arial" w:hAnsi="Arial" w:cs="Arial"/>
          <w:iCs/>
          <w:sz w:val="22"/>
          <w:szCs w:val="22"/>
        </w:rPr>
      </w:pPr>
      <w:r>
        <w:rPr>
          <w:rFonts w:ascii="Arial" w:hAnsi="Arial" w:cs="Arial"/>
          <w:iCs/>
          <w:sz w:val="22"/>
          <w:szCs w:val="22"/>
        </w:rPr>
        <w:t xml:space="preserve">Con riferimento al titolo di studio, i movimenti degli italiani di 25 anni e più con almeno la laurea </w:t>
      </w:r>
      <w:r w:rsidR="006511E5">
        <w:rPr>
          <w:rFonts w:ascii="Arial" w:hAnsi="Arial" w:cs="Arial"/>
          <w:iCs/>
          <w:sz w:val="22"/>
          <w:szCs w:val="22"/>
        </w:rPr>
        <w:t xml:space="preserve">che partono </w:t>
      </w:r>
      <w:r>
        <w:rPr>
          <w:rFonts w:ascii="Arial" w:hAnsi="Arial" w:cs="Arial"/>
          <w:iCs/>
          <w:sz w:val="22"/>
          <w:szCs w:val="22"/>
        </w:rPr>
        <w:t xml:space="preserve">dalle regioni del Mezzogiorno </w:t>
      </w:r>
      <w:r w:rsidR="006511E5">
        <w:rPr>
          <w:rFonts w:ascii="Arial" w:hAnsi="Arial" w:cs="Arial"/>
          <w:iCs/>
          <w:sz w:val="22"/>
          <w:szCs w:val="22"/>
        </w:rPr>
        <w:t xml:space="preserve">e si dirigono </w:t>
      </w:r>
      <w:r>
        <w:rPr>
          <w:rFonts w:ascii="Arial" w:hAnsi="Arial" w:cs="Arial"/>
          <w:iCs/>
          <w:sz w:val="22"/>
          <w:szCs w:val="22"/>
        </w:rPr>
        <w:t>verso quelle del Centro-nord</w:t>
      </w:r>
      <w:r w:rsidR="006511E5">
        <w:rPr>
          <w:rFonts w:ascii="Arial" w:hAnsi="Arial" w:cs="Arial"/>
          <w:iCs/>
          <w:sz w:val="22"/>
          <w:szCs w:val="22"/>
        </w:rPr>
        <w:t xml:space="preserve"> (al netto de</w:t>
      </w:r>
      <w:r w:rsidR="00200AA9">
        <w:rPr>
          <w:rFonts w:ascii="Arial" w:hAnsi="Arial" w:cs="Arial"/>
          <w:iCs/>
          <w:sz w:val="22"/>
          <w:szCs w:val="22"/>
        </w:rPr>
        <w:t>i rientri</w:t>
      </w:r>
      <w:r w:rsidR="006511E5">
        <w:rPr>
          <w:rFonts w:ascii="Arial" w:hAnsi="Arial" w:cs="Arial"/>
          <w:iCs/>
          <w:sz w:val="22"/>
          <w:szCs w:val="22"/>
        </w:rPr>
        <w:t>)</w:t>
      </w:r>
      <w:r>
        <w:rPr>
          <w:rFonts w:ascii="Arial" w:hAnsi="Arial" w:cs="Arial"/>
          <w:iCs/>
          <w:sz w:val="22"/>
          <w:szCs w:val="22"/>
        </w:rPr>
        <w:t xml:space="preserve"> </w:t>
      </w:r>
      <w:r w:rsidR="00564965">
        <w:rPr>
          <w:rFonts w:ascii="Arial" w:hAnsi="Arial" w:cs="Arial"/>
          <w:iCs/>
          <w:sz w:val="22"/>
          <w:szCs w:val="22"/>
        </w:rPr>
        <w:t>hanno provocato,</w:t>
      </w:r>
      <w:r>
        <w:rPr>
          <w:rFonts w:ascii="Arial" w:hAnsi="Arial" w:cs="Arial"/>
          <w:iCs/>
          <w:sz w:val="22"/>
          <w:szCs w:val="22"/>
        </w:rPr>
        <w:t xml:space="preserve"> nel 2018, </w:t>
      </w:r>
      <w:r w:rsidR="00564965">
        <w:rPr>
          <w:rFonts w:ascii="Arial" w:hAnsi="Arial" w:cs="Arial"/>
          <w:iCs/>
          <w:sz w:val="22"/>
          <w:szCs w:val="22"/>
        </w:rPr>
        <w:t xml:space="preserve">una perdita </w:t>
      </w:r>
      <w:r>
        <w:rPr>
          <w:rFonts w:ascii="Arial" w:hAnsi="Arial" w:cs="Arial"/>
          <w:iCs/>
          <w:sz w:val="22"/>
          <w:szCs w:val="22"/>
        </w:rPr>
        <w:t xml:space="preserve">di oltre 16 mila residenti. Le regioni con le perdite più consistenti </w:t>
      </w:r>
      <w:r w:rsidR="00E61797">
        <w:rPr>
          <w:rFonts w:ascii="Arial" w:hAnsi="Arial" w:cs="Arial"/>
          <w:iCs/>
          <w:sz w:val="22"/>
          <w:szCs w:val="22"/>
        </w:rPr>
        <w:t xml:space="preserve">di questo “prezioso” contingente </w:t>
      </w:r>
      <w:r>
        <w:rPr>
          <w:rFonts w:ascii="Arial" w:hAnsi="Arial" w:cs="Arial"/>
          <w:iCs/>
          <w:sz w:val="22"/>
          <w:szCs w:val="22"/>
        </w:rPr>
        <w:t>sono la Sicilia e la Campania (complessivamente</w:t>
      </w:r>
      <w:r w:rsidR="00FF60F0">
        <w:rPr>
          <w:rFonts w:ascii="Arial" w:hAnsi="Arial" w:cs="Arial"/>
          <w:iCs/>
          <w:sz w:val="22"/>
          <w:szCs w:val="22"/>
        </w:rPr>
        <w:t xml:space="preserve"> oltre 8,5 mila residenti qualificati in meno)</w:t>
      </w:r>
      <w:r w:rsidR="00371DB8">
        <w:rPr>
          <w:rFonts w:ascii="Arial" w:hAnsi="Arial" w:cs="Arial"/>
          <w:iCs/>
          <w:sz w:val="22"/>
          <w:szCs w:val="22"/>
        </w:rPr>
        <w:t xml:space="preserve">, </w:t>
      </w:r>
      <w:r w:rsidR="00FF60F0">
        <w:rPr>
          <w:rFonts w:ascii="Arial" w:hAnsi="Arial" w:cs="Arial"/>
          <w:iCs/>
          <w:sz w:val="22"/>
          <w:szCs w:val="22"/>
        </w:rPr>
        <w:t xml:space="preserve">seguite da Puglia (-3 mila) e Calabria (-2 mila). Perdite più contenute </w:t>
      </w:r>
      <w:r w:rsidR="001D3DDF">
        <w:rPr>
          <w:rFonts w:ascii="Arial" w:hAnsi="Arial" w:cs="Arial"/>
          <w:iCs/>
          <w:sz w:val="22"/>
          <w:szCs w:val="22"/>
        </w:rPr>
        <w:t xml:space="preserve">si registrano </w:t>
      </w:r>
      <w:r w:rsidR="00FF60F0">
        <w:rPr>
          <w:rFonts w:ascii="Arial" w:hAnsi="Arial" w:cs="Arial"/>
          <w:iCs/>
          <w:sz w:val="22"/>
          <w:szCs w:val="22"/>
        </w:rPr>
        <w:t>per Basilicata, Abruzzo e Molise che</w:t>
      </w:r>
      <w:r w:rsidR="001D3DDF">
        <w:rPr>
          <w:rFonts w:ascii="Arial" w:hAnsi="Arial" w:cs="Arial"/>
          <w:iCs/>
          <w:sz w:val="22"/>
          <w:szCs w:val="22"/>
        </w:rPr>
        <w:t>,</w:t>
      </w:r>
      <w:r w:rsidR="00FF60F0">
        <w:rPr>
          <w:rFonts w:ascii="Arial" w:hAnsi="Arial" w:cs="Arial"/>
          <w:iCs/>
          <w:sz w:val="22"/>
          <w:szCs w:val="22"/>
        </w:rPr>
        <w:t xml:space="preserve"> complessivamente</w:t>
      </w:r>
      <w:r w:rsidR="001D3DDF">
        <w:rPr>
          <w:rFonts w:ascii="Arial" w:hAnsi="Arial" w:cs="Arial"/>
          <w:iCs/>
          <w:sz w:val="22"/>
          <w:szCs w:val="22"/>
        </w:rPr>
        <w:t>,</w:t>
      </w:r>
      <w:r w:rsidR="00FF60F0">
        <w:rPr>
          <w:rFonts w:ascii="Arial" w:hAnsi="Arial" w:cs="Arial"/>
          <w:iCs/>
          <w:sz w:val="22"/>
          <w:szCs w:val="22"/>
        </w:rPr>
        <w:t xml:space="preserve"> perdo</w:t>
      </w:r>
      <w:r w:rsidR="00CC6C03">
        <w:rPr>
          <w:rFonts w:ascii="Arial" w:hAnsi="Arial" w:cs="Arial"/>
          <w:iCs/>
          <w:sz w:val="22"/>
          <w:szCs w:val="22"/>
        </w:rPr>
        <w:t xml:space="preserve">no 1,5 mila residenti. </w:t>
      </w:r>
      <w:r w:rsidR="00FF60F0">
        <w:rPr>
          <w:rFonts w:ascii="Arial" w:hAnsi="Arial" w:cs="Arial"/>
          <w:iCs/>
          <w:sz w:val="22"/>
          <w:szCs w:val="22"/>
        </w:rPr>
        <w:t xml:space="preserve">Le regioni che guadagnano </w:t>
      </w:r>
      <w:r w:rsidR="008F52A8">
        <w:rPr>
          <w:rFonts w:ascii="Arial" w:hAnsi="Arial" w:cs="Arial"/>
          <w:iCs/>
          <w:sz w:val="22"/>
          <w:szCs w:val="22"/>
        </w:rPr>
        <w:t xml:space="preserve">di più </w:t>
      </w:r>
      <w:r w:rsidR="00FF60F0">
        <w:rPr>
          <w:rFonts w:ascii="Arial" w:hAnsi="Arial" w:cs="Arial"/>
          <w:iCs/>
          <w:sz w:val="22"/>
          <w:szCs w:val="22"/>
        </w:rPr>
        <w:t>da questo scambio sono la Lombardia (+8 mila) e l’</w:t>
      </w:r>
      <w:r w:rsidR="00CC6C03">
        <w:rPr>
          <w:rFonts w:ascii="Arial" w:hAnsi="Arial" w:cs="Arial"/>
          <w:iCs/>
          <w:sz w:val="22"/>
          <w:szCs w:val="22"/>
        </w:rPr>
        <w:t xml:space="preserve">Emilia-Romagna (+4 mila). </w:t>
      </w:r>
    </w:p>
    <w:p w14:paraId="66B86BDB" w14:textId="00E0C9CD" w:rsidR="008F52A8" w:rsidRDefault="00CC6C03" w:rsidP="00FF60F0">
      <w:pPr>
        <w:spacing w:after="120"/>
        <w:jc w:val="both"/>
        <w:outlineLvl w:val="0"/>
        <w:rPr>
          <w:rFonts w:ascii="Arial" w:hAnsi="Arial" w:cs="Arial"/>
          <w:iCs/>
          <w:sz w:val="22"/>
          <w:szCs w:val="22"/>
        </w:rPr>
      </w:pPr>
      <w:r>
        <w:rPr>
          <w:rFonts w:ascii="Arial" w:hAnsi="Arial" w:cs="Arial"/>
          <w:iCs/>
          <w:sz w:val="22"/>
          <w:szCs w:val="22"/>
        </w:rPr>
        <w:t xml:space="preserve">Se si considerano </w:t>
      </w:r>
      <w:r w:rsidR="00BA1FDF">
        <w:rPr>
          <w:rFonts w:ascii="Arial" w:hAnsi="Arial" w:cs="Arial"/>
          <w:iCs/>
          <w:sz w:val="22"/>
          <w:szCs w:val="22"/>
        </w:rPr>
        <w:t xml:space="preserve">anche </w:t>
      </w:r>
      <w:r>
        <w:rPr>
          <w:rFonts w:ascii="Arial" w:hAnsi="Arial" w:cs="Arial"/>
          <w:iCs/>
          <w:sz w:val="22"/>
          <w:szCs w:val="22"/>
        </w:rPr>
        <w:t>gli scambi con l’estero,</w:t>
      </w:r>
      <w:r w:rsidR="00EB680C">
        <w:rPr>
          <w:rFonts w:ascii="Arial" w:hAnsi="Arial" w:cs="Arial"/>
          <w:iCs/>
          <w:sz w:val="22"/>
          <w:szCs w:val="22"/>
        </w:rPr>
        <w:t xml:space="preserve"> </w:t>
      </w:r>
      <w:r>
        <w:rPr>
          <w:rFonts w:ascii="Arial" w:hAnsi="Arial" w:cs="Arial"/>
          <w:iCs/>
          <w:sz w:val="22"/>
          <w:szCs w:val="22"/>
        </w:rPr>
        <w:t xml:space="preserve">i saldi migratori restituiscono </w:t>
      </w:r>
      <w:r w:rsidR="00151F1A">
        <w:rPr>
          <w:rFonts w:ascii="Arial" w:hAnsi="Arial" w:cs="Arial"/>
          <w:iCs/>
          <w:sz w:val="22"/>
          <w:szCs w:val="22"/>
        </w:rPr>
        <w:t>perdite nette (differenze tra rimpatri e</w:t>
      </w:r>
      <w:r w:rsidR="00E50226">
        <w:rPr>
          <w:rFonts w:ascii="Arial" w:hAnsi="Arial" w:cs="Arial"/>
          <w:iCs/>
          <w:sz w:val="22"/>
          <w:szCs w:val="22"/>
        </w:rPr>
        <w:t xml:space="preserve">d espatri) </w:t>
      </w:r>
      <w:r w:rsidR="0033327B">
        <w:rPr>
          <w:rFonts w:ascii="Arial" w:hAnsi="Arial" w:cs="Arial"/>
          <w:iCs/>
          <w:sz w:val="22"/>
          <w:szCs w:val="22"/>
        </w:rPr>
        <w:t xml:space="preserve">in </w:t>
      </w:r>
      <w:r w:rsidR="00E50226">
        <w:rPr>
          <w:rFonts w:ascii="Arial" w:hAnsi="Arial" w:cs="Arial"/>
          <w:iCs/>
          <w:sz w:val="22"/>
          <w:szCs w:val="22"/>
        </w:rPr>
        <w:t>tutte le regioni</w:t>
      </w:r>
      <w:r w:rsidR="00E20B03">
        <w:rPr>
          <w:rFonts w:ascii="Arial" w:hAnsi="Arial" w:cs="Arial"/>
          <w:iCs/>
          <w:sz w:val="22"/>
          <w:szCs w:val="22"/>
        </w:rPr>
        <w:t>.</w:t>
      </w:r>
      <w:r w:rsidR="00E50226">
        <w:rPr>
          <w:rFonts w:ascii="Arial" w:hAnsi="Arial" w:cs="Arial"/>
          <w:iCs/>
          <w:sz w:val="22"/>
          <w:szCs w:val="22"/>
        </w:rPr>
        <w:t xml:space="preserve"> </w:t>
      </w:r>
      <w:r w:rsidR="008F52A8">
        <w:rPr>
          <w:rFonts w:ascii="Arial" w:hAnsi="Arial" w:cs="Arial"/>
          <w:iCs/>
          <w:sz w:val="22"/>
          <w:szCs w:val="22"/>
        </w:rPr>
        <w:t>S</w:t>
      </w:r>
      <w:r w:rsidR="008C6B9E">
        <w:rPr>
          <w:rFonts w:ascii="Arial" w:hAnsi="Arial" w:cs="Arial"/>
          <w:iCs/>
          <w:sz w:val="22"/>
          <w:szCs w:val="22"/>
        </w:rPr>
        <w:t>omman</w:t>
      </w:r>
      <w:r w:rsidR="008F52A8">
        <w:rPr>
          <w:rFonts w:ascii="Arial" w:hAnsi="Arial" w:cs="Arial"/>
          <w:iCs/>
          <w:sz w:val="22"/>
          <w:szCs w:val="22"/>
        </w:rPr>
        <w:t>d</w:t>
      </w:r>
      <w:r w:rsidR="008C6B9E">
        <w:rPr>
          <w:rFonts w:ascii="Arial" w:hAnsi="Arial" w:cs="Arial"/>
          <w:iCs/>
          <w:sz w:val="22"/>
          <w:szCs w:val="22"/>
        </w:rPr>
        <w:t xml:space="preserve">o </w:t>
      </w:r>
      <w:r w:rsidR="00D515C3">
        <w:rPr>
          <w:rFonts w:ascii="Arial" w:hAnsi="Arial" w:cs="Arial"/>
          <w:iCs/>
          <w:sz w:val="22"/>
          <w:szCs w:val="22"/>
        </w:rPr>
        <w:t xml:space="preserve">ai saldi migratori con l’estero </w:t>
      </w:r>
      <w:r w:rsidR="008C6B9E">
        <w:rPr>
          <w:rFonts w:ascii="Arial" w:hAnsi="Arial" w:cs="Arial"/>
          <w:iCs/>
          <w:sz w:val="22"/>
          <w:szCs w:val="22"/>
        </w:rPr>
        <w:t xml:space="preserve">i saldi </w:t>
      </w:r>
      <w:r w:rsidR="000E17CE">
        <w:rPr>
          <w:rFonts w:ascii="Arial" w:hAnsi="Arial" w:cs="Arial"/>
          <w:iCs/>
          <w:sz w:val="22"/>
          <w:szCs w:val="22"/>
        </w:rPr>
        <w:t>ottenuti dai</w:t>
      </w:r>
      <w:r w:rsidR="008C6B9E">
        <w:rPr>
          <w:rFonts w:ascii="Arial" w:hAnsi="Arial" w:cs="Arial"/>
          <w:iCs/>
          <w:sz w:val="22"/>
          <w:szCs w:val="22"/>
        </w:rPr>
        <w:t xml:space="preserve"> movimenti da una regione all’altra, si osserva che a</w:t>
      </w:r>
      <w:r w:rsidR="00EB680C">
        <w:rPr>
          <w:rFonts w:ascii="Arial" w:hAnsi="Arial" w:cs="Arial"/>
          <w:iCs/>
          <w:sz w:val="22"/>
          <w:szCs w:val="22"/>
        </w:rPr>
        <w:t>lcune</w:t>
      </w:r>
      <w:r w:rsidR="00E20B03" w:rsidRPr="00E20B03">
        <w:rPr>
          <w:rFonts w:ascii="Arial" w:hAnsi="Arial" w:cs="Arial"/>
          <w:iCs/>
          <w:sz w:val="22"/>
          <w:szCs w:val="22"/>
        </w:rPr>
        <w:t xml:space="preserve"> regioni del Centro-nord </w:t>
      </w:r>
      <w:r w:rsidR="00EB680C">
        <w:rPr>
          <w:rFonts w:ascii="Arial" w:hAnsi="Arial" w:cs="Arial"/>
          <w:iCs/>
          <w:sz w:val="22"/>
          <w:szCs w:val="22"/>
        </w:rPr>
        <w:t xml:space="preserve">riescono a </w:t>
      </w:r>
      <w:r w:rsidR="00E20B03" w:rsidRPr="00E20B03">
        <w:rPr>
          <w:rFonts w:ascii="Arial" w:hAnsi="Arial" w:cs="Arial"/>
          <w:iCs/>
          <w:sz w:val="22"/>
          <w:szCs w:val="22"/>
        </w:rPr>
        <w:t>recupera</w:t>
      </w:r>
      <w:r w:rsidR="00EB680C">
        <w:rPr>
          <w:rFonts w:ascii="Arial" w:hAnsi="Arial" w:cs="Arial"/>
          <w:iCs/>
          <w:sz w:val="22"/>
          <w:szCs w:val="22"/>
        </w:rPr>
        <w:t xml:space="preserve">re </w:t>
      </w:r>
      <w:r w:rsidR="00E20B03" w:rsidRPr="00E20B03">
        <w:rPr>
          <w:rFonts w:ascii="Arial" w:hAnsi="Arial" w:cs="Arial"/>
          <w:iCs/>
          <w:sz w:val="22"/>
          <w:szCs w:val="22"/>
        </w:rPr>
        <w:t xml:space="preserve">la perdita </w:t>
      </w:r>
      <w:r w:rsidR="00BA1FDF">
        <w:rPr>
          <w:rFonts w:ascii="Arial" w:hAnsi="Arial" w:cs="Arial"/>
          <w:iCs/>
          <w:sz w:val="22"/>
          <w:szCs w:val="22"/>
        </w:rPr>
        <w:t xml:space="preserve">con l’estero </w:t>
      </w:r>
      <w:r w:rsidR="00E20B03" w:rsidRPr="00E20B03">
        <w:rPr>
          <w:rFonts w:ascii="Arial" w:hAnsi="Arial" w:cs="Arial"/>
          <w:iCs/>
          <w:sz w:val="22"/>
          <w:szCs w:val="22"/>
        </w:rPr>
        <w:t>grazie a</w:t>
      </w:r>
      <w:r w:rsidR="00D515C3">
        <w:rPr>
          <w:rFonts w:ascii="Arial" w:hAnsi="Arial" w:cs="Arial"/>
          <w:iCs/>
          <w:sz w:val="22"/>
          <w:szCs w:val="22"/>
        </w:rPr>
        <w:t xml:space="preserve">lle differenze </w:t>
      </w:r>
      <w:r w:rsidR="00E20B03" w:rsidRPr="00E20B03">
        <w:rPr>
          <w:rFonts w:ascii="Arial" w:hAnsi="Arial" w:cs="Arial"/>
          <w:iCs/>
          <w:sz w:val="22"/>
          <w:szCs w:val="22"/>
        </w:rPr>
        <w:t>positiv</w:t>
      </w:r>
      <w:r w:rsidR="00D515C3">
        <w:rPr>
          <w:rFonts w:ascii="Arial" w:hAnsi="Arial" w:cs="Arial"/>
          <w:iCs/>
          <w:sz w:val="22"/>
          <w:szCs w:val="22"/>
        </w:rPr>
        <w:t>e</w:t>
      </w:r>
      <w:r w:rsidR="00E20B03" w:rsidRPr="00E20B03">
        <w:rPr>
          <w:rFonts w:ascii="Arial" w:hAnsi="Arial" w:cs="Arial"/>
          <w:iCs/>
          <w:sz w:val="22"/>
          <w:szCs w:val="22"/>
        </w:rPr>
        <w:t xml:space="preserve"> dovut</w:t>
      </w:r>
      <w:r w:rsidR="00D515C3">
        <w:rPr>
          <w:rFonts w:ascii="Arial" w:hAnsi="Arial" w:cs="Arial"/>
          <w:iCs/>
          <w:sz w:val="22"/>
          <w:szCs w:val="22"/>
        </w:rPr>
        <w:t>e</w:t>
      </w:r>
      <w:r w:rsidR="00E20B03" w:rsidRPr="00E20B03">
        <w:rPr>
          <w:rFonts w:ascii="Arial" w:hAnsi="Arial" w:cs="Arial"/>
          <w:iCs/>
          <w:sz w:val="22"/>
          <w:szCs w:val="22"/>
        </w:rPr>
        <w:t xml:space="preserve"> ai movimenti interregionali</w:t>
      </w:r>
      <w:r w:rsidR="00D515C3">
        <w:rPr>
          <w:rFonts w:ascii="Arial" w:hAnsi="Arial" w:cs="Arial"/>
          <w:iCs/>
          <w:sz w:val="22"/>
          <w:szCs w:val="22"/>
        </w:rPr>
        <w:t>.</w:t>
      </w:r>
      <w:r w:rsidR="006E02DD">
        <w:rPr>
          <w:rFonts w:ascii="Arial" w:hAnsi="Arial" w:cs="Arial"/>
          <w:iCs/>
          <w:sz w:val="22"/>
          <w:szCs w:val="22"/>
        </w:rPr>
        <w:t xml:space="preserve"> </w:t>
      </w:r>
      <w:r w:rsidR="00D515C3">
        <w:rPr>
          <w:rFonts w:ascii="Arial" w:hAnsi="Arial" w:cs="Arial"/>
          <w:iCs/>
          <w:sz w:val="22"/>
          <w:szCs w:val="22"/>
        </w:rPr>
        <w:t>È</w:t>
      </w:r>
      <w:r w:rsidR="00E50226">
        <w:rPr>
          <w:rFonts w:ascii="Arial" w:hAnsi="Arial" w:cs="Arial"/>
          <w:iCs/>
          <w:sz w:val="22"/>
          <w:szCs w:val="22"/>
        </w:rPr>
        <w:t xml:space="preserve"> il caso della Lombardia che perde </w:t>
      </w:r>
      <w:r w:rsidR="000114C9">
        <w:rPr>
          <w:rFonts w:ascii="Arial" w:hAnsi="Arial" w:cs="Arial"/>
          <w:iCs/>
          <w:sz w:val="22"/>
          <w:szCs w:val="22"/>
        </w:rPr>
        <w:t>più di</w:t>
      </w:r>
      <w:r w:rsidR="00E50226">
        <w:rPr>
          <w:rFonts w:ascii="Arial" w:hAnsi="Arial" w:cs="Arial"/>
          <w:iCs/>
          <w:sz w:val="22"/>
          <w:szCs w:val="22"/>
        </w:rPr>
        <w:t xml:space="preserve"> 2 mila giovani laureati</w:t>
      </w:r>
      <w:r w:rsidR="00E61797">
        <w:rPr>
          <w:rFonts w:ascii="Arial" w:hAnsi="Arial" w:cs="Arial"/>
          <w:iCs/>
          <w:sz w:val="22"/>
          <w:szCs w:val="22"/>
        </w:rPr>
        <w:t xml:space="preserve"> (italiani di 25 anni e più)</w:t>
      </w:r>
      <w:r w:rsidR="00E50226">
        <w:rPr>
          <w:rFonts w:ascii="Arial" w:hAnsi="Arial" w:cs="Arial"/>
          <w:iCs/>
          <w:sz w:val="22"/>
          <w:szCs w:val="22"/>
        </w:rPr>
        <w:t xml:space="preserve"> per emigrazione verso l’estero, ma ne guadagna oltre 8 mila dai trasferimenti provenienti dalle altre regioni, facendo registrare così un guadagno complessivo di popolazione qualificata pari a circa 6 mila risorse laureate. </w:t>
      </w:r>
    </w:p>
    <w:p w14:paraId="2BC91DC7" w14:textId="06549C1F" w:rsidR="00FF60F0" w:rsidRPr="00FF60F0" w:rsidRDefault="00E50226" w:rsidP="00FF60F0">
      <w:pPr>
        <w:spacing w:after="120"/>
        <w:jc w:val="both"/>
        <w:outlineLvl w:val="0"/>
        <w:rPr>
          <w:rFonts w:ascii="Arial" w:hAnsi="Arial" w:cs="Arial"/>
          <w:iCs/>
          <w:sz w:val="22"/>
          <w:szCs w:val="22"/>
        </w:rPr>
      </w:pPr>
      <w:r>
        <w:rPr>
          <w:rFonts w:ascii="Arial" w:hAnsi="Arial" w:cs="Arial"/>
          <w:iCs/>
          <w:sz w:val="22"/>
          <w:szCs w:val="22"/>
        </w:rPr>
        <w:t xml:space="preserve">Anche per </w:t>
      </w:r>
      <w:r w:rsidR="00D515C3">
        <w:rPr>
          <w:rFonts w:ascii="Arial" w:hAnsi="Arial" w:cs="Arial"/>
          <w:iCs/>
          <w:sz w:val="22"/>
          <w:szCs w:val="22"/>
        </w:rPr>
        <w:t>l’</w:t>
      </w:r>
      <w:r>
        <w:rPr>
          <w:rFonts w:ascii="Arial" w:hAnsi="Arial" w:cs="Arial"/>
          <w:iCs/>
          <w:sz w:val="22"/>
          <w:szCs w:val="22"/>
        </w:rPr>
        <w:t xml:space="preserve">Emilia-Romagna e </w:t>
      </w:r>
      <w:r w:rsidR="00D515C3">
        <w:rPr>
          <w:rFonts w:ascii="Arial" w:hAnsi="Arial" w:cs="Arial"/>
          <w:iCs/>
          <w:sz w:val="22"/>
          <w:szCs w:val="22"/>
        </w:rPr>
        <w:t xml:space="preserve">la </w:t>
      </w:r>
      <w:r>
        <w:rPr>
          <w:rFonts w:ascii="Arial" w:hAnsi="Arial" w:cs="Arial"/>
          <w:iCs/>
          <w:sz w:val="22"/>
          <w:szCs w:val="22"/>
        </w:rPr>
        <w:t xml:space="preserve">Liguria la perdita causata dalle </w:t>
      </w:r>
      <w:r w:rsidR="00D515C3">
        <w:rPr>
          <w:rFonts w:ascii="Arial" w:hAnsi="Arial" w:cs="Arial"/>
          <w:iCs/>
          <w:sz w:val="22"/>
          <w:szCs w:val="22"/>
        </w:rPr>
        <w:t>e</w:t>
      </w:r>
      <w:r>
        <w:rPr>
          <w:rFonts w:ascii="Arial" w:hAnsi="Arial" w:cs="Arial"/>
          <w:iCs/>
          <w:sz w:val="22"/>
          <w:szCs w:val="22"/>
        </w:rPr>
        <w:t>migrazioni è compensata dai movimenti interregionali. P</w:t>
      </w:r>
      <w:r w:rsidR="000114C9">
        <w:rPr>
          <w:rFonts w:ascii="Arial" w:hAnsi="Arial" w:cs="Arial"/>
          <w:iCs/>
          <w:sz w:val="22"/>
          <w:szCs w:val="22"/>
        </w:rPr>
        <w:t>er tutte le regioni meridionali</w:t>
      </w:r>
      <w:r>
        <w:rPr>
          <w:rFonts w:ascii="Arial" w:hAnsi="Arial" w:cs="Arial"/>
          <w:iCs/>
          <w:sz w:val="22"/>
          <w:szCs w:val="22"/>
        </w:rPr>
        <w:t xml:space="preserve"> </w:t>
      </w:r>
      <w:r w:rsidR="000114C9">
        <w:rPr>
          <w:rFonts w:ascii="Arial" w:hAnsi="Arial" w:cs="Arial"/>
          <w:iCs/>
          <w:sz w:val="22"/>
          <w:szCs w:val="22"/>
        </w:rPr>
        <w:t>e</w:t>
      </w:r>
      <w:r>
        <w:rPr>
          <w:rFonts w:ascii="Arial" w:hAnsi="Arial" w:cs="Arial"/>
          <w:iCs/>
          <w:sz w:val="22"/>
          <w:szCs w:val="22"/>
        </w:rPr>
        <w:t xml:space="preserve"> </w:t>
      </w:r>
      <w:r w:rsidR="00E20B03">
        <w:rPr>
          <w:rFonts w:ascii="Arial" w:hAnsi="Arial" w:cs="Arial"/>
          <w:iCs/>
          <w:sz w:val="22"/>
          <w:szCs w:val="22"/>
        </w:rPr>
        <w:t xml:space="preserve">per il Piemonte, </w:t>
      </w:r>
      <w:r w:rsidR="006E02DD">
        <w:rPr>
          <w:rFonts w:ascii="Arial" w:hAnsi="Arial" w:cs="Arial"/>
          <w:iCs/>
          <w:sz w:val="22"/>
          <w:szCs w:val="22"/>
        </w:rPr>
        <w:t xml:space="preserve">invece, </w:t>
      </w:r>
      <w:r w:rsidR="00E20B03">
        <w:rPr>
          <w:rFonts w:ascii="Arial" w:hAnsi="Arial" w:cs="Arial"/>
          <w:iCs/>
          <w:sz w:val="22"/>
          <w:szCs w:val="22"/>
        </w:rPr>
        <w:t xml:space="preserve">alle perdite </w:t>
      </w:r>
      <w:r w:rsidR="006E02DD">
        <w:rPr>
          <w:rFonts w:ascii="Arial" w:hAnsi="Arial" w:cs="Arial"/>
          <w:iCs/>
          <w:sz w:val="22"/>
          <w:szCs w:val="22"/>
        </w:rPr>
        <w:t xml:space="preserve">dovute </w:t>
      </w:r>
      <w:r w:rsidR="00D515C3">
        <w:rPr>
          <w:rFonts w:ascii="Arial" w:hAnsi="Arial" w:cs="Arial"/>
          <w:iCs/>
          <w:sz w:val="22"/>
          <w:szCs w:val="22"/>
        </w:rPr>
        <w:t>agli espatri</w:t>
      </w:r>
      <w:r w:rsidR="006E02DD">
        <w:rPr>
          <w:rFonts w:ascii="Arial" w:hAnsi="Arial" w:cs="Arial"/>
          <w:iCs/>
          <w:sz w:val="22"/>
          <w:szCs w:val="22"/>
        </w:rPr>
        <w:t xml:space="preserve"> si sommano anche quelle </w:t>
      </w:r>
      <w:r w:rsidR="008F52A8">
        <w:rPr>
          <w:rFonts w:ascii="Arial" w:hAnsi="Arial" w:cs="Arial"/>
          <w:iCs/>
          <w:sz w:val="22"/>
          <w:szCs w:val="22"/>
        </w:rPr>
        <w:t xml:space="preserve">relative </w:t>
      </w:r>
      <w:r w:rsidR="00E20B03">
        <w:rPr>
          <w:rFonts w:ascii="Arial" w:hAnsi="Arial" w:cs="Arial"/>
          <w:iCs/>
          <w:sz w:val="22"/>
          <w:szCs w:val="22"/>
        </w:rPr>
        <w:t>ai trasferimenti verso le altre regioni: l</w:t>
      </w:r>
      <w:r w:rsidR="00FF60F0" w:rsidRPr="00FF60F0">
        <w:rPr>
          <w:rFonts w:ascii="Arial" w:hAnsi="Arial" w:cs="Arial"/>
          <w:iCs/>
          <w:sz w:val="22"/>
          <w:szCs w:val="22"/>
        </w:rPr>
        <w:t xml:space="preserve">e giovani risorse </w:t>
      </w:r>
      <w:r w:rsidR="00E61797">
        <w:rPr>
          <w:rFonts w:ascii="Arial" w:hAnsi="Arial" w:cs="Arial"/>
          <w:iCs/>
          <w:sz w:val="22"/>
          <w:szCs w:val="22"/>
        </w:rPr>
        <w:t xml:space="preserve">qualificate </w:t>
      </w:r>
      <w:r w:rsidR="00FF60F0" w:rsidRPr="00FF60F0">
        <w:rPr>
          <w:rFonts w:ascii="Arial" w:hAnsi="Arial" w:cs="Arial"/>
          <w:iCs/>
          <w:sz w:val="22"/>
          <w:szCs w:val="22"/>
        </w:rPr>
        <w:t>provenient</w:t>
      </w:r>
      <w:r w:rsidR="00E61797">
        <w:rPr>
          <w:rFonts w:ascii="Arial" w:hAnsi="Arial" w:cs="Arial"/>
          <w:iCs/>
          <w:sz w:val="22"/>
          <w:szCs w:val="22"/>
        </w:rPr>
        <w:t>i</w:t>
      </w:r>
      <w:r w:rsidR="00FF60F0" w:rsidRPr="00FF60F0">
        <w:rPr>
          <w:rFonts w:ascii="Arial" w:hAnsi="Arial" w:cs="Arial"/>
          <w:iCs/>
          <w:sz w:val="22"/>
          <w:szCs w:val="22"/>
        </w:rPr>
        <w:t xml:space="preserve"> dal Mezzogiorno, dunque, costituiscono una fonte di capitale umano sia per le zone maggiormente produttive del Centro e Nord Italia sia per i </w:t>
      </w:r>
      <w:r w:rsidR="00D515C3">
        <w:rPr>
          <w:rFonts w:ascii="Arial" w:hAnsi="Arial" w:cs="Arial"/>
          <w:iCs/>
          <w:sz w:val="22"/>
          <w:szCs w:val="22"/>
        </w:rPr>
        <w:t>p</w:t>
      </w:r>
      <w:r w:rsidR="00FF60F0" w:rsidRPr="00FF60F0">
        <w:rPr>
          <w:rFonts w:ascii="Arial" w:hAnsi="Arial" w:cs="Arial"/>
          <w:iCs/>
          <w:sz w:val="22"/>
          <w:szCs w:val="22"/>
        </w:rPr>
        <w:t>aesi esteri</w:t>
      </w:r>
      <w:r w:rsidR="003C1409">
        <w:rPr>
          <w:rFonts w:ascii="Arial" w:hAnsi="Arial" w:cs="Arial"/>
          <w:iCs/>
          <w:sz w:val="22"/>
          <w:szCs w:val="22"/>
        </w:rPr>
        <w:t xml:space="preserve"> (Figura </w:t>
      </w:r>
      <w:r w:rsidR="008F52A8">
        <w:rPr>
          <w:rFonts w:ascii="Arial" w:hAnsi="Arial" w:cs="Arial"/>
          <w:iCs/>
          <w:sz w:val="22"/>
          <w:szCs w:val="22"/>
        </w:rPr>
        <w:t>8</w:t>
      </w:r>
      <w:r w:rsidR="003C1409">
        <w:rPr>
          <w:rFonts w:ascii="Arial" w:hAnsi="Arial" w:cs="Arial"/>
          <w:iCs/>
          <w:sz w:val="22"/>
          <w:szCs w:val="22"/>
        </w:rPr>
        <w:t>)</w:t>
      </w:r>
      <w:r w:rsidR="00FF60F0" w:rsidRPr="00FF60F0">
        <w:rPr>
          <w:rFonts w:ascii="Arial" w:hAnsi="Arial" w:cs="Arial"/>
          <w:iCs/>
          <w:sz w:val="22"/>
          <w:szCs w:val="22"/>
        </w:rPr>
        <w:t>.</w:t>
      </w:r>
    </w:p>
    <w:p w14:paraId="7DECD329" w14:textId="016DBB64" w:rsidR="003C1409" w:rsidRDefault="003C1409" w:rsidP="00E20B03">
      <w:pPr>
        <w:spacing w:after="120"/>
        <w:jc w:val="both"/>
        <w:outlineLvl w:val="0"/>
        <w:rPr>
          <w:rFonts w:ascii="Arial" w:hAnsi="Arial" w:cs="Arial"/>
          <w:iCs/>
          <w:sz w:val="22"/>
          <w:szCs w:val="22"/>
        </w:rPr>
      </w:pPr>
    </w:p>
    <w:p w14:paraId="69BAA997" w14:textId="390903E3" w:rsidR="003C1409" w:rsidRDefault="003C1409" w:rsidP="00E20B03">
      <w:pPr>
        <w:spacing w:after="120"/>
        <w:jc w:val="both"/>
        <w:outlineLvl w:val="0"/>
        <w:rPr>
          <w:rFonts w:ascii="Arial" w:hAnsi="Arial" w:cs="Arial"/>
          <w:iCs/>
          <w:sz w:val="22"/>
          <w:szCs w:val="22"/>
        </w:rPr>
      </w:pPr>
    </w:p>
    <w:p w14:paraId="0499331E" w14:textId="77777777" w:rsidR="00371DB8" w:rsidRDefault="00371DB8" w:rsidP="00E20B03">
      <w:pPr>
        <w:spacing w:after="120"/>
        <w:jc w:val="both"/>
        <w:outlineLvl w:val="0"/>
        <w:rPr>
          <w:rFonts w:ascii="Arial" w:hAnsi="Arial" w:cs="Arial"/>
          <w:iCs/>
          <w:sz w:val="22"/>
          <w:szCs w:val="22"/>
        </w:rPr>
      </w:pPr>
    </w:p>
    <w:p w14:paraId="6086FC3D" w14:textId="77777777" w:rsidR="0098125E" w:rsidRDefault="0098125E" w:rsidP="00E20B03">
      <w:pPr>
        <w:spacing w:after="120"/>
        <w:jc w:val="both"/>
        <w:outlineLvl w:val="0"/>
        <w:rPr>
          <w:rFonts w:ascii="Arial" w:hAnsi="Arial" w:cs="Arial"/>
          <w:iCs/>
          <w:sz w:val="22"/>
          <w:szCs w:val="22"/>
        </w:rPr>
      </w:pPr>
    </w:p>
    <w:p w14:paraId="414281E2" w14:textId="77777777" w:rsidR="008F52A8" w:rsidRDefault="008F52A8" w:rsidP="00E20B03">
      <w:pPr>
        <w:spacing w:after="120"/>
        <w:jc w:val="both"/>
        <w:outlineLvl w:val="0"/>
        <w:rPr>
          <w:rFonts w:ascii="Arial" w:hAnsi="Arial" w:cs="Arial"/>
          <w:iCs/>
          <w:sz w:val="22"/>
          <w:szCs w:val="22"/>
        </w:rPr>
      </w:pPr>
    </w:p>
    <w:p w14:paraId="4DAC8E93" w14:textId="6FE66CD3" w:rsidR="003C1409" w:rsidRPr="0098125E" w:rsidRDefault="003C1409" w:rsidP="0098125E">
      <w:pPr>
        <w:jc w:val="both"/>
        <w:outlineLvl w:val="0"/>
        <w:rPr>
          <w:rFonts w:ascii="Arial" w:hAnsi="Arial" w:cs="Arial"/>
          <w:iCs/>
          <w:sz w:val="18"/>
          <w:szCs w:val="18"/>
        </w:rPr>
      </w:pPr>
    </w:p>
    <w:p w14:paraId="5A1BABEB" w14:textId="77777777" w:rsidR="00D33161" w:rsidRPr="0098125E" w:rsidRDefault="00D33161" w:rsidP="0098125E">
      <w:pPr>
        <w:jc w:val="both"/>
        <w:outlineLvl w:val="0"/>
        <w:rPr>
          <w:rFonts w:ascii="Arial" w:hAnsi="Arial" w:cs="Arial"/>
          <w:iCs/>
          <w:sz w:val="18"/>
          <w:szCs w:val="18"/>
        </w:rPr>
      </w:pPr>
    </w:p>
    <w:p w14:paraId="729F3454" w14:textId="76F5F9CB" w:rsidR="00125760" w:rsidRPr="00E20B03" w:rsidRDefault="00E20B03" w:rsidP="00125760">
      <w:pPr>
        <w:spacing w:after="120"/>
        <w:jc w:val="both"/>
        <w:rPr>
          <w:rFonts w:ascii="Arial Narrow" w:hAnsi="Arial Narrow"/>
        </w:rPr>
      </w:pPr>
      <w:r>
        <w:rPr>
          <w:rFonts w:ascii="Arial Black" w:hAnsi="Arial Black" w:cs="Arial"/>
          <w:iCs/>
          <w:noProof/>
          <w:color w:val="1F497D" w:themeColor="text2"/>
          <w:sz w:val="22"/>
          <w:szCs w:val="22"/>
        </w:rPr>
        <w:t>FIGURA</w:t>
      </w:r>
      <w:r w:rsidRPr="00E20B03">
        <w:rPr>
          <w:rFonts w:ascii="Arial Black" w:hAnsi="Arial Black" w:cs="Arial"/>
          <w:iCs/>
          <w:noProof/>
          <w:color w:val="1F497D" w:themeColor="text2"/>
          <w:sz w:val="22"/>
          <w:szCs w:val="22"/>
        </w:rPr>
        <w:t xml:space="preserve"> </w:t>
      </w:r>
      <w:r w:rsidR="008F52A8">
        <w:rPr>
          <w:rFonts w:ascii="Arial Black" w:hAnsi="Arial Black" w:cs="Arial"/>
          <w:iCs/>
          <w:noProof/>
          <w:color w:val="1F497D" w:themeColor="text2"/>
          <w:sz w:val="22"/>
          <w:szCs w:val="22"/>
        </w:rPr>
        <w:t>8</w:t>
      </w:r>
      <w:r w:rsidRPr="00E20B03">
        <w:rPr>
          <w:rFonts w:ascii="Arial Black" w:hAnsi="Arial Black" w:cs="Arial"/>
          <w:iCs/>
          <w:noProof/>
          <w:color w:val="1F497D" w:themeColor="text2"/>
          <w:sz w:val="22"/>
          <w:szCs w:val="22"/>
        </w:rPr>
        <w:t xml:space="preserve">. </w:t>
      </w:r>
      <w:r w:rsidRPr="00E20B03">
        <w:rPr>
          <w:rFonts w:ascii="Arial Narrow" w:hAnsi="Arial Narrow" w:cs="Arial"/>
          <w:b/>
          <w:iCs/>
          <w:noProof/>
          <w:color w:val="1F497D" w:themeColor="text2"/>
          <w:sz w:val="22"/>
          <w:szCs w:val="22"/>
        </w:rPr>
        <w:t>SALDI MIGRATORI CO</w:t>
      </w:r>
      <w:r>
        <w:rPr>
          <w:rFonts w:ascii="Arial Narrow" w:hAnsi="Arial Narrow" w:cs="Arial"/>
          <w:b/>
          <w:iCs/>
          <w:noProof/>
          <w:color w:val="1F497D" w:themeColor="text2"/>
          <w:sz w:val="22"/>
          <w:szCs w:val="22"/>
        </w:rPr>
        <w:t>N L’ESTERO E INTERREGIONALI DEGLI ITALIANI LAUREATI D</w:t>
      </w:r>
      <w:r w:rsidRPr="00E20B03">
        <w:rPr>
          <w:rFonts w:ascii="Arial Narrow" w:hAnsi="Arial Narrow" w:cs="Arial"/>
          <w:b/>
          <w:iCs/>
          <w:noProof/>
          <w:color w:val="1F497D" w:themeColor="text2"/>
          <w:sz w:val="22"/>
          <w:szCs w:val="22"/>
        </w:rPr>
        <w:t>I 2</w:t>
      </w:r>
      <w:r>
        <w:rPr>
          <w:rFonts w:ascii="Arial Narrow" w:hAnsi="Arial Narrow" w:cs="Arial"/>
          <w:b/>
          <w:iCs/>
          <w:noProof/>
          <w:color w:val="1F497D" w:themeColor="text2"/>
          <w:sz w:val="22"/>
          <w:szCs w:val="22"/>
        </w:rPr>
        <w:t>5 ANNI E PI</w:t>
      </w:r>
      <w:r w:rsidR="00E658A4">
        <w:rPr>
          <w:rFonts w:ascii="Arial Narrow" w:hAnsi="Arial Narrow" w:cs="Arial"/>
          <w:b/>
          <w:iCs/>
          <w:noProof/>
          <w:color w:val="1F497D" w:themeColor="text2"/>
          <w:sz w:val="22"/>
          <w:szCs w:val="22"/>
        </w:rPr>
        <w:t>Ù</w:t>
      </w:r>
      <w:r>
        <w:rPr>
          <w:rFonts w:ascii="Arial Narrow" w:hAnsi="Arial Narrow" w:cs="Arial"/>
          <w:iCs/>
          <w:noProof/>
          <w:color w:val="1F497D" w:themeColor="text2"/>
          <w:sz w:val="22"/>
          <w:szCs w:val="22"/>
        </w:rPr>
        <w:t>. Anno</w:t>
      </w:r>
      <w:r w:rsidR="00125760" w:rsidRPr="00E20B03">
        <w:rPr>
          <w:rFonts w:ascii="Arial Narrow" w:hAnsi="Arial Narrow" w:cs="Arial"/>
          <w:iCs/>
          <w:noProof/>
          <w:color w:val="1F497D" w:themeColor="text2"/>
          <w:sz w:val="22"/>
          <w:szCs w:val="22"/>
        </w:rPr>
        <w:t xml:space="preserve"> 20</w:t>
      </w:r>
      <w:r>
        <w:rPr>
          <w:rFonts w:ascii="Arial Narrow" w:hAnsi="Arial Narrow" w:cs="Arial"/>
          <w:iCs/>
          <w:noProof/>
          <w:color w:val="1F497D" w:themeColor="text2"/>
          <w:sz w:val="22"/>
          <w:szCs w:val="22"/>
        </w:rPr>
        <w:t>18</w:t>
      </w:r>
      <w:r w:rsidR="00125760" w:rsidRPr="00E20B03">
        <w:rPr>
          <w:rFonts w:ascii="Arial Narrow" w:hAnsi="Arial Narrow" w:cs="Arial"/>
          <w:iCs/>
          <w:noProof/>
          <w:color w:val="1F497D" w:themeColor="text2"/>
          <w:sz w:val="22"/>
          <w:szCs w:val="22"/>
        </w:rPr>
        <w:t>. Valori in migliaia</w:t>
      </w:r>
    </w:p>
    <w:p w14:paraId="60A7722D" w14:textId="77777777" w:rsidR="00F66509" w:rsidRDefault="00F70341" w:rsidP="00D33161">
      <w:pPr>
        <w:spacing w:after="120"/>
        <w:jc w:val="both"/>
        <w:rPr>
          <w:rFonts w:ascii="Arial Narrow" w:hAnsi="Arial Narrow" w:cs="Arial"/>
          <w:b/>
          <w:iCs/>
          <w:noProof/>
          <w:color w:val="1F497D" w:themeColor="text2"/>
          <w:sz w:val="22"/>
          <w:szCs w:val="22"/>
        </w:rPr>
      </w:pPr>
      <w:r>
        <w:rPr>
          <w:noProof/>
        </w:rPr>
        <w:drawing>
          <wp:inline distT="0" distB="0" distL="0" distR="0" wp14:anchorId="79C082E9" wp14:editId="482B4EC7">
            <wp:extent cx="6486525" cy="2400300"/>
            <wp:effectExtent l="0" t="0" r="0" b="0"/>
            <wp:docPr id="39" name="Gra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D40556" w14:textId="77777777" w:rsidR="00F66509" w:rsidRDefault="00F66509" w:rsidP="0019759E">
      <w:pPr>
        <w:rPr>
          <w:rFonts w:ascii="Arial Narrow" w:hAnsi="Arial Narrow" w:cs="Arial"/>
          <w:b/>
          <w:iCs/>
          <w:noProof/>
          <w:color w:val="1F497D" w:themeColor="text2"/>
          <w:sz w:val="22"/>
          <w:szCs w:val="22"/>
        </w:rPr>
        <w:sectPr w:rsidR="00F66509" w:rsidSect="002261D9">
          <w:headerReference w:type="default" r:id="rId24"/>
          <w:footerReference w:type="default" r:id="rId25"/>
          <w:pgSz w:w="11906" w:h="16838" w:code="9"/>
          <w:pgMar w:top="567" w:right="992" w:bottom="714" w:left="992" w:header="0" w:footer="0" w:gutter="0"/>
          <w:cols w:space="430"/>
          <w:docGrid w:linePitch="360"/>
        </w:sectPr>
      </w:pPr>
    </w:p>
    <w:p w14:paraId="6ADD77AD" w14:textId="77777777" w:rsidR="001A7F1A" w:rsidRPr="003B4168" w:rsidRDefault="001A7F1A" w:rsidP="003C74F3">
      <w:pPr>
        <w:autoSpaceDE w:val="0"/>
        <w:autoSpaceDN w:val="0"/>
        <w:adjustRightInd w:val="0"/>
        <w:spacing w:before="120" w:after="240"/>
        <w:jc w:val="both"/>
        <w:outlineLvl w:val="0"/>
        <w:rPr>
          <w:rFonts w:ascii="Georgia" w:hAnsi="Georgia" w:cs="Arial"/>
          <w:color w:val="1F497D" w:themeColor="text2"/>
          <w:sz w:val="48"/>
          <w:szCs w:val="48"/>
        </w:rPr>
      </w:pPr>
      <w:r w:rsidRPr="003B4168">
        <w:rPr>
          <w:rFonts w:ascii="Georgia" w:hAnsi="Georgia" w:cs="Arial"/>
          <w:color w:val="1F497D" w:themeColor="text2"/>
          <w:sz w:val="48"/>
          <w:szCs w:val="48"/>
        </w:rPr>
        <w:lastRenderedPageBreak/>
        <w:t>Glossario</w:t>
      </w:r>
    </w:p>
    <w:p w14:paraId="4D4513F8" w14:textId="77777777" w:rsidR="00BC4D4C" w:rsidRPr="00BC4D4C" w:rsidRDefault="00BC4D4C" w:rsidP="00BC4D4C">
      <w:pPr>
        <w:pStyle w:val="Titolo3"/>
        <w:jc w:val="both"/>
        <w:rPr>
          <w:rFonts w:ascii="Arial" w:hAnsi="Arial" w:cs="Arial"/>
          <w:b w:val="0"/>
          <w:noProof/>
          <w:sz w:val="20"/>
          <w:szCs w:val="20"/>
        </w:rPr>
      </w:pPr>
      <w:r w:rsidRPr="00BC4D4C">
        <w:rPr>
          <w:rFonts w:ascii="Arial" w:hAnsi="Arial" w:cs="Arial"/>
          <w:noProof/>
          <w:color w:val="1F497D"/>
          <w:sz w:val="20"/>
          <w:szCs w:val="20"/>
        </w:rPr>
        <w:t xml:space="preserve">Anagrafe della popolazione. </w:t>
      </w:r>
      <w:r w:rsidRPr="00BC4D4C">
        <w:rPr>
          <w:rFonts w:ascii="Arial" w:hAnsi="Arial" w:cs="Arial"/>
          <w:b w:val="0"/>
          <w:noProof/>
          <w:sz w:val="20"/>
          <w:szCs w:val="20"/>
        </w:rPr>
        <w:t>Sistema continuo di registrazione della popolazione residente, continuamente aggiornato tramite iscrizioni per nascita da genitori residenti nel Comune, cancellazioni per morte di residenti e iscrizioni/cancellazioni per trasferimento di residenza da/per altro Comune o da/per l'Estero.</w:t>
      </w:r>
    </w:p>
    <w:p w14:paraId="6E1BEF20" w14:textId="77777777" w:rsidR="00BC4D4C" w:rsidRPr="00BC4D4C" w:rsidRDefault="00BC4D4C" w:rsidP="00BC4D4C">
      <w:pPr>
        <w:pStyle w:val="Titolo3"/>
        <w:jc w:val="both"/>
        <w:rPr>
          <w:rFonts w:ascii="Arial" w:hAnsi="Arial" w:cs="Arial"/>
          <w:b w:val="0"/>
          <w:noProof/>
          <w:sz w:val="20"/>
          <w:szCs w:val="20"/>
        </w:rPr>
      </w:pPr>
      <w:r w:rsidRPr="00BC4D4C">
        <w:rPr>
          <w:rFonts w:ascii="Arial" w:hAnsi="Arial" w:cs="Arial"/>
          <w:noProof/>
          <w:color w:val="1F497D"/>
          <w:sz w:val="20"/>
          <w:szCs w:val="20"/>
        </w:rPr>
        <w:t xml:space="preserve">Cittadinanza. </w:t>
      </w:r>
      <w:r w:rsidRPr="00BC4D4C">
        <w:rPr>
          <w:rFonts w:ascii="Arial" w:hAnsi="Arial" w:cs="Arial"/>
          <w:b w:val="0"/>
          <w:noProof/>
          <w:sz w:val="20"/>
          <w:szCs w:val="20"/>
        </w:rPr>
        <w:t>Vincolo di appartenenza a uno Stato, richiesto e documentato per il godimento di diritti e l’assoggettamento a particolari oneri.</w:t>
      </w:r>
    </w:p>
    <w:p w14:paraId="40B19D41" w14:textId="77777777" w:rsidR="00BC4D4C" w:rsidRPr="00BC4D4C" w:rsidRDefault="00BC4D4C" w:rsidP="00BC4D4C">
      <w:pPr>
        <w:pStyle w:val="Titolo3"/>
        <w:spacing w:line="360" w:lineRule="auto"/>
        <w:jc w:val="both"/>
        <w:rPr>
          <w:rFonts w:ascii="Arial" w:hAnsi="Arial" w:cs="Arial"/>
          <w:b w:val="0"/>
          <w:noProof/>
          <w:sz w:val="20"/>
          <w:szCs w:val="20"/>
        </w:rPr>
      </w:pPr>
      <w:r w:rsidRPr="00BC4D4C">
        <w:rPr>
          <w:rFonts w:ascii="Arial" w:hAnsi="Arial" w:cs="Arial"/>
          <w:noProof/>
          <w:color w:val="1F497D"/>
          <w:sz w:val="20"/>
          <w:szCs w:val="20"/>
        </w:rPr>
        <w:t xml:space="preserve">Cittadino straniero residente. </w:t>
      </w:r>
      <w:r w:rsidRPr="00BC4D4C">
        <w:rPr>
          <w:rFonts w:ascii="Arial" w:hAnsi="Arial" w:cs="Arial"/>
          <w:b w:val="0"/>
          <w:noProof/>
          <w:sz w:val="20"/>
          <w:szCs w:val="20"/>
        </w:rPr>
        <w:t>Persona con cittadinanza straniera o apolide iscritta in anagrafe.</w:t>
      </w:r>
    </w:p>
    <w:p w14:paraId="78EA9F8D" w14:textId="77777777" w:rsidR="00BC4D4C" w:rsidRPr="00BC4D4C" w:rsidRDefault="00BC4D4C" w:rsidP="00BC4D4C">
      <w:pPr>
        <w:pStyle w:val="Titolo3"/>
        <w:jc w:val="both"/>
        <w:rPr>
          <w:rFonts w:ascii="Arial" w:hAnsi="Arial" w:cs="Arial"/>
          <w:noProof/>
          <w:color w:val="1F497D"/>
          <w:sz w:val="20"/>
          <w:szCs w:val="20"/>
        </w:rPr>
      </w:pPr>
      <w:r w:rsidRPr="00BC4D4C">
        <w:rPr>
          <w:rFonts w:ascii="Arial" w:hAnsi="Arial" w:cs="Arial"/>
          <w:noProof/>
          <w:color w:val="1F497D"/>
          <w:sz w:val="20"/>
          <w:szCs w:val="20"/>
        </w:rPr>
        <w:t xml:space="preserve">Immigrazione. </w:t>
      </w:r>
      <w:r w:rsidRPr="00BC4D4C">
        <w:rPr>
          <w:rFonts w:ascii="Arial" w:hAnsi="Arial" w:cs="Arial"/>
          <w:b w:val="0"/>
          <w:noProof/>
          <w:sz w:val="20"/>
          <w:szCs w:val="20"/>
        </w:rPr>
        <w:t>L’azione con la quale una persona stabilisce la residenza legale nel territorio di uno Stato per un periodo superiore ai dodici mesi dopo aver avuto in precedenza la propria residenza altrove</w:t>
      </w:r>
      <w:r w:rsidRPr="00BC4D4C">
        <w:rPr>
          <w:rFonts w:ascii="Arial" w:hAnsi="Arial" w:cs="Arial"/>
          <w:noProof/>
          <w:color w:val="1F497D"/>
          <w:sz w:val="20"/>
          <w:szCs w:val="20"/>
        </w:rPr>
        <w:t>.</w:t>
      </w:r>
    </w:p>
    <w:p w14:paraId="5BF7D55D" w14:textId="77777777" w:rsidR="00BC4D4C" w:rsidRPr="00BC4D4C" w:rsidRDefault="00BC4D4C" w:rsidP="00BC4D4C">
      <w:pPr>
        <w:pStyle w:val="Titolo3"/>
        <w:jc w:val="both"/>
        <w:rPr>
          <w:rFonts w:ascii="Arial" w:hAnsi="Arial" w:cs="Arial"/>
          <w:noProof/>
          <w:color w:val="1F497D"/>
          <w:sz w:val="20"/>
          <w:szCs w:val="20"/>
        </w:rPr>
      </w:pPr>
      <w:r w:rsidRPr="00BC4D4C">
        <w:rPr>
          <w:rFonts w:ascii="Arial" w:hAnsi="Arial" w:cs="Arial"/>
          <w:noProof/>
          <w:color w:val="1F497D"/>
          <w:sz w:val="20"/>
          <w:szCs w:val="20"/>
        </w:rPr>
        <w:t xml:space="preserve">Iscrizione e cancellazione anagrafica per trasferimento di residenza. </w:t>
      </w:r>
      <w:r w:rsidRPr="00BC4D4C">
        <w:rPr>
          <w:rFonts w:ascii="Arial" w:hAnsi="Arial" w:cs="Arial"/>
          <w:b w:val="0"/>
          <w:noProof/>
          <w:sz w:val="20"/>
          <w:szCs w:val="20"/>
        </w:rPr>
        <w:t>L'iscrizione riguarda le persone trasferitesi nel Comune da altri Comuni o dall'estero; la cancellazione riguarda le persone trasferitesi in altro Comune o all'estero. I trasferimenti da un Comune a un altro decorrono dal giorno della richiesta d’iscrizione nel Comune di nuova dimora abituale, ma sono rilevati quando la pratica migratoria, di ritorno dal Comune di cancellazione, risulta definita. I trasferimenti da e per l'estero sono rilevati nel momento in cui, rispettivamente, viene richiesta l'iscrizione o la cancellazione.</w:t>
      </w:r>
    </w:p>
    <w:p w14:paraId="4DC1356A" w14:textId="77777777" w:rsidR="00BC4D4C" w:rsidRPr="00BC4D4C" w:rsidRDefault="00BC4D4C" w:rsidP="00BC4D4C">
      <w:pPr>
        <w:pStyle w:val="Titolo3"/>
        <w:jc w:val="both"/>
        <w:rPr>
          <w:rFonts w:ascii="Arial" w:hAnsi="Arial" w:cs="Arial"/>
          <w:noProof/>
          <w:color w:val="1F497D"/>
          <w:sz w:val="20"/>
          <w:szCs w:val="20"/>
        </w:rPr>
      </w:pPr>
      <w:r w:rsidRPr="00BC4D4C">
        <w:rPr>
          <w:rFonts w:ascii="Arial" w:hAnsi="Arial" w:cs="Arial"/>
          <w:noProof/>
          <w:color w:val="1F497D"/>
          <w:sz w:val="20"/>
          <w:szCs w:val="20"/>
        </w:rPr>
        <w:t xml:space="preserve">Emigrazione. </w:t>
      </w:r>
      <w:r w:rsidRPr="00BC4D4C">
        <w:rPr>
          <w:rFonts w:ascii="Arial" w:hAnsi="Arial" w:cs="Arial"/>
          <w:b w:val="0"/>
          <w:noProof/>
          <w:sz w:val="20"/>
          <w:szCs w:val="20"/>
        </w:rPr>
        <w:t>L’azione con la quale una persona, dopo aver avuto in precedenza la propria residenza legale nel territorio di uno Stato, cessa di possederla per un periodo superiore ai dodici mesi spostandola altrove.</w:t>
      </w:r>
    </w:p>
    <w:p w14:paraId="082AFB2D" w14:textId="77777777" w:rsidR="00BC4D4C" w:rsidRPr="00BC4D4C" w:rsidRDefault="00BC4D4C" w:rsidP="00BC4D4C">
      <w:pPr>
        <w:pStyle w:val="Titolo3"/>
        <w:jc w:val="both"/>
        <w:rPr>
          <w:rFonts w:ascii="Arial" w:hAnsi="Arial" w:cs="Arial"/>
          <w:b w:val="0"/>
          <w:noProof/>
          <w:sz w:val="20"/>
          <w:szCs w:val="20"/>
        </w:rPr>
      </w:pPr>
      <w:r w:rsidRPr="00BC4D4C">
        <w:rPr>
          <w:rFonts w:ascii="Arial" w:hAnsi="Arial" w:cs="Arial"/>
          <w:noProof/>
          <w:color w:val="1F497D"/>
          <w:sz w:val="20"/>
          <w:szCs w:val="20"/>
        </w:rPr>
        <w:t xml:space="preserve">Popolazione residente. </w:t>
      </w:r>
      <w:r w:rsidRPr="00BC4D4C">
        <w:rPr>
          <w:rFonts w:ascii="Arial" w:hAnsi="Arial" w:cs="Arial"/>
          <w:b w:val="0"/>
          <w:noProof/>
          <w:sz w:val="20"/>
          <w:szCs w:val="20"/>
        </w:rPr>
        <w:t>Per ciascun Comune è costituita dalle persone aventi dimora abituale nel Comune, anche se alla data considerata sono assenti perché temporaneamente presenti in altro Comune italiano o all'estero.</w:t>
      </w:r>
    </w:p>
    <w:p w14:paraId="73F2B4C0" w14:textId="77777777" w:rsidR="00BC4D4C" w:rsidRPr="00BC4D4C" w:rsidRDefault="00BC4D4C" w:rsidP="00BC4D4C">
      <w:pPr>
        <w:pStyle w:val="Titolo3"/>
        <w:jc w:val="both"/>
        <w:rPr>
          <w:rFonts w:ascii="Arial" w:hAnsi="Arial" w:cs="Arial"/>
          <w:b w:val="0"/>
          <w:noProof/>
          <w:sz w:val="20"/>
          <w:szCs w:val="20"/>
        </w:rPr>
      </w:pPr>
      <w:r w:rsidRPr="00BC4D4C">
        <w:rPr>
          <w:rFonts w:ascii="Arial" w:hAnsi="Arial" w:cs="Arial"/>
          <w:noProof/>
          <w:color w:val="1F497D"/>
          <w:sz w:val="20"/>
          <w:szCs w:val="20"/>
        </w:rPr>
        <w:t xml:space="preserve">Saldo migratorio con l'estero. </w:t>
      </w:r>
      <w:r w:rsidRPr="00BC4D4C">
        <w:rPr>
          <w:rFonts w:ascii="Arial" w:hAnsi="Arial" w:cs="Arial"/>
          <w:b w:val="0"/>
          <w:noProof/>
          <w:sz w:val="20"/>
          <w:szCs w:val="20"/>
        </w:rPr>
        <w:t>L'eccedenza o il deficit d’iscrizioni per immigrazione dall'estero rispetto alle cancellazioni per l'estero.</w:t>
      </w:r>
    </w:p>
    <w:p w14:paraId="410D2DEC" w14:textId="77777777" w:rsidR="00BC4D4C" w:rsidRPr="00BC4D4C" w:rsidRDefault="00BC4D4C" w:rsidP="00BC4D4C">
      <w:pPr>
        <w:pStyle w:val="Titolo3"/>
        <w:jc w:val="both"/>
        <w:rPr>
          <w:rFonts w:ascii="Arial" w:hAnsi="Arial" w:cs="Arial"/>
          <w:noProof/>
          <w:color w:val="1F497D"/>
          <w:sz w:val="20"/>
          <w:szCs w:val="20"/>
        </w:rPr>
      </w:pPr>
      <w:r w:rsidRPr="00BC4D4C">
        <w:rPr>
          <w:rFonts w:ascii="Arial" w:hAnsi="Arial" w:cs="Arial"/>
          <w:noProof/>
          <w:color w:val="1F497D"/>
          <w:sz w:val="20"/>
          <w:szCs w:val="20"/>
        </w:rPr>
        <w:t xml:space="preserve">Saldo migratorio interno. </w:t>
      </w:r>
      <w:r w:rsidRPr="00BC4D4C">
        <w:rPr>
          <w:rFonts w:ascii="Arial" w:hAnsi="Arial" w:cs="Arial"/>
          <w:b w:val="0"/>
          <w:noProof/>
          <w:sz w:val="20"/>
          <w:szCs w:val="20"/>
        </w:rPr>
        <w:t>Differenza tra il numero degli iscritti per trasferimento di residenza da altro Comune e il numero dei cancellati per trasferimento di residenza in altro Comune.</w:t>
      </w:r>
      <w:r w:rsidRPr="00BC4D4C">
        <w:rPr>
          <w:rFonts w:ascii="Arial" w:hAnsi="Arial" w:cs="Arial"/>
          <w:noProof/>
          <w:color w:val="1F497D"/>
          <w:sz w:val="20"/>
          <w:szCs w:val="20"/>
        </w:rPr>
        <w:t xml:space="preserve"> </w:t>
      </w:r>
    </w:p>
    <w:p w14:paraId="31A7A076" w14:textId="77777777" w:rsidR="00BC4D4C" w:rsidRPr="00BC4D4C" w:rsidRDefault="00BC4D4C" w:rsidP="00BC4D4C">
      <w:pPr>
        <w:pStyle w:val="Titolo3"/>
        <w:jc w:val="both"/>
        <w:rPr>
          <w:rFonts w:ascii="Arial" w:hAnsi="Arial" w:cs="Arial"/>
          <w:noProof/>
          <w:color w:val="1F497D"/>
          <w:sz w:val="20"/>
          <w:szCs w:val="20"/>
        </w:rPr>
      </w:pPr>
      <w:r w:rsidRPr="00BC4D4C">
        <w:rPr>
          <w:rFonts w:ascii="Arial" w:hAnsi="Arial" w:cs="Arial"/>
          <w:noProof/>
          <w:color w:val="1F497D"/>
          <w:sz w:val="20"/>
          <w:szCs w:val="20"/>
        </w:rPr>
        <w:t xml:space="preserve">Saldo migratorio totale. </w:t>
      </w:r>
      <w:r w:rsidRPr="00BC4D4C">
        <w:rPr>
          <w:rFonts w:ascii="Arial" w:hAnsi="Arial" w:cs="Arial"/>
          <w:b w:val="0"/>
          <w:noProof/>
          <w:sz w:val="20"/>
          <w:szCs w:val="20"/>
        </w:rPr>
        <w:t>Differenza tra il numero degli iscritti e il numero dei cancellati dai registri anagrafici per trasferimento di residenza.</w:t>
      </w:r>
      <w:r w:rsidRPr="00BC4D4C">
        <w:rPr>
          <w:rFonts w:ascii="Arial" w:hAnsi="Arial" w:cs="Arial"/>
          <w:noProof/>
          <w:color w:val="1F497D"/>
          <w:sz w:val="20"/>
          <w:szCs w:val="20"/>
        </w:rPr>
        <w:t xml:space="preserve"> </w:t>
      </w:r>
    </w:p>
    <w:p w14:paraId="06C38DA9" w14:textId="77777777" w:rsidR="00BC4D4C" w:rsidRPr="00BC4D4C" w:rsidRDefault="00BC4D4C" w:rsidP="00BC4D4C">
      <w:pPr>
        <w:pStyle w:val="Titolo3"/>
        <w:jc w:val="both"/>
        <w:rPr>
          <w:rFonts w:ascii="Arial" w:hAnsi="Arial" w:cs="Arial"/>
          <w:b w:val="0"/>
          <w:noProof/>
          <w:sz w:val="20"/>
          <w:szCs w:val="20"/>
        </w:rPr>
      </w:pPr>
      <w:r w:rsidRPr="00BC4D4C">
        <w:rPr>
          <w:rFonts w:ascii="Arial" w:hAnsi="Arial" w:cs="Arial"/>
          <w:noProof/>
          <w:color w:val="1F497D"/>
          <w:sz w:val="20"/>
          <w:szCs w:val="20"/>
        </w:rPr>
        <w:t xml:space="preserve">Tasso di emigratorietà/immigratorietà migratorietà. </w:t>
      </w:r>
      <w:r w:rsidRPr="00BC4D4C">
        <w:rPr>
          <w:rFonts w:ascii="Arial" w:hAnsi="Arial" w:cs="Arial"/>
          <w:b w:val="0"/>
          <w:noProof/>
          <w:sz w:val="20"/>
          <w:szCs w:val="20"/>
        </w:rPr>
        <w:t>Rappresenta, rispettivamente, il rapporto tra gli emigrati/gli immigrati/ il saldo migratorio nel corso di un anno e l'ammontare medio nell’anno della popolazione residente.</w:t>
      </w:r>
    </w:p>
    <w:p w14:paraId="171E481D" w14:textId="77777777" w:rsidR="00BC4D4C" w:rsidRPr="00BC4D4C" w:rsidRDefault="00BC4D4C" w:rsidP="00BC4D4C">
      <w:pPr>
        <w:pStyle w:val="Titolo3"/>
        <w:jc w:val="both"/>
        <w:rPr>
          <w:rFonts w:ascii="Arial" w:hAnsi="Arial" w:cs="Arial"/>
          <w:b w:val="0"/>
          <w:noProof/>
          <w:sz w:val="20"/>
          <w:szCs w:val="20"/>
        </w:rPr>
      </w:pPr>
      <w:r w:rsidRPr="00BC4D4C">
        <w:rPr>
          <w:rFonts w:ascii="Arial" w:hAnsi="Arial" w:cs="Arial"/>
          <w:noProof/>
          <w:color w:val="1F497D"/>
          <w:sz w:val="20"/>
          <w:szCs w:val="20"/>
        </w:rPr>
        <w:t xml:space="preserve">Trasferimenti di residenza intraregionali. </w:t>
      </w:r>
      <w:r w:rsidRPr="00BC4D4C">
        <w:rPr>
          <w:rFonts w:ascii="Arial" w:hAnsi="Arial" w:cs="Arial"/>
          <w:b w:val="0"/>
          <w:noProof/>
          <w:sz w:val="20"/>
          <w:szCs w:val="20"/>
        </w:rPr>
        <w:t>Comprendono i trasferimenti di “breve raggio” (tra Comuni appartenenti alla stessa Provincia) e di “medio raggio” (tra Comuni di province diverse ma appartenenti alla stessa Regione).</w:t>
      </w:r>
    </w:p>
    <w:p w14:paraId="43914633" w14:textId="591B8530" w:rsidR="00F37B10" w:rsidRPr="00BC4D4C" w:rsidRDefault="00BC4D4C" w:rsidP="00F37B10">
      <w:pPr>
        <w:pStyle w:val="Titolo3"/>
        <w:jc w:val="both"/>
        <w:rPr>
          <w:rFonts w:ascii="Arial" w:hAnsi="Arial" w:cs="Arial"/>
          <w:b w:val="0"/>
          <w:noProof/>
          <w:sz w:val="20"/>
          <w:szCs w:val="20"/>
        </w:rPr>
      </w:pPr>
      <w:r w:rsidRPr="00BC4D4C">
        <w:rPr>
          <w:rFonts w:ascii="Arial" w:hAnsi="Arial" w:cs="Arial"/>
          <w:noProof/>
          <w:color w:val="1F497D"/>
          <w:sz w:val="20"/>
          <w:szCs w:val="20"/>
        </w:rPr>
        <w:t xml:space="preserve">Trasferimenti di residenza interregionali. </w:t>
      </w:r>
      <w:r w:rsidR="00F37B10" w:rsidRPr="00BC4D4C">
        <w:rPr>
          <w:rFonts w:ascii="Arial" w:hAnsi="Arial" w:cs="Arial"/>
          <w:b w:val="0"/>
          <w:noProof/>
          <w:sz w:val="20"/>
          <w:szCs w:val="20"/>
        </w:rPr>
        <w:t>Comprendono i trasferimenti di “</w:t>
      </w:r>
      <w:r w:rsidR="00F37B10">
        <w:rPr>
          <w:rFonts w:ascii="Arial" w:hAnsi="Arial" w:cs="Arial"/>
          <w:b w:val="0"/>
          <w:noProof/>
          <w:sz w:val="20"/>
          <w:szCs w:val="20"/>
        </w:rPr>
        <w:t>lungo</w:t>
      </w:r>
      <w:r w:rsidR="00F37B10" w:rsidRPr="00BC4D4C">
        <w:rPr>
          <w:rFonts w:ascii="Arial" w:hAnsi="Arial" w:cs="Arial"/>
          <w:b w:val="0"/>
          <w:noProof/>
          <w:sz w:val="20"/>
          <w:szCs w:val="20"/>
        </w:rPr>
        <w:t xml:space="preserve"> raggio” tra Comuni di </w:t>
      </w:r>
      <w:r w:rsidR="00F37B10">
        <w:rPr>
          <w:rFonts w:ascii="Arial" w:hAnsi="Arial" w:cs="Arial"/>
          <w:b w:val="0"/>
          <w:noProof/>
          <w:sz w:val="20"/>
          <w:szCs w:val="20"/>
        </w:rPr>
        <w:t>regioni</w:t>
      </w:r>
      <w:r w:rsidR="00F37B10" w:rsidRPr="00BC4D4C">
        <w:rPr>
          <w:rFonts w:ascii="Arial" w:hAnsi="Arial" w:cs="Arial"/>
          <w:b w:val="0"/>
          <w:noProof/>
          <w:sz w:val="20"/>
          <w:szCs w:val="20"/>
        </w:rPr>
        <w:t xml:space="preserve"> diverse.</w:t>
      </w:r>
    </w:p>
    <w:p w14:paraId="7FC15174" w14:textId="373EDFC7" w:rsidR="00BC4D4C" w:rsidRPr="00BC4D4C" w:rsidRDefault="00BC4D4C" w:rsidP="00BC4D4C">
      <w:pPr>
        <w:pStyle w:val="Titolo3"/>
        <w:jc w:val="both"/>
        <w:rPr>
          <w:rFonts w:ascii="Arial" w:hAnsi="Arial" w:cs="Arial"/>
          <w:b w:val="0"/>
          <w:noProof/>
          <w:sz w:val="20"/>
          <w:szCs w:val="20"/>
        </w:rPr>
      </w:pPr>
    </w:p>
    <w:p w14:paraId="365ED5F0" w14:textId="77777777" w:rsidR="00ED691A" w:rsidRDefault="00ED691A" w:rsidP="003C74F3">
      <w:pPr>
        <w:pStyle w:val="Titolo3"/>
        <w:spacing w:before="0" w:beforeAutospacing="0" w:after="120" w:afterAutospacing="0" w:line="360" w:lineRule="auto"/>
        <w:rPr>
          <w:rFonts w:ascii="Georgia" w:hAnsi="Georgia" w:cs="Arial"/>
          <w:b w:val="0"/>
          <w:color w:val="1F497D" w:themeColor="text2"/>
          <w:sz w:val="36"/>
          <w:szCs w:val="36"/>
        </w:rPr>
      </w:pPr>
    </w:p>
    <w:p w14:paraId="6F422955" w14:textId="77777777" w:rsidR="000C4223" w:rsidRDefault="000C4223" w:rsidP="003C74F3">
      <w:pPr>
        <w:pStyle w:val="Titolo3"/>
        <w:spacing w:before="0" w:beforeAutospacing="0" w:after="120" w:afterAutospacing="0" w:line="360" w:lineRule="auto"/>
        <w:rPr>
          <w:rFonts w:ascii="Georgia" w:hAnsi="Georgia" w:cs="Arial"/>
          <w:b w:val="0"/>
          <w:color w:val="1F497D" w:themeColor="text2"/>
          <w:sz w:val="36"/>
          <w:szCs w:val="36"/>
        </w:rPr>
      </w:pPr>
    </w:p>
    <w:p w14:paraId="58389737" w14:textId="77777777" w:rsidR="00997448" w:rsidRDefault="00997448" w:rsidP="003C74F3">
      <w:pPr>
        <w:pStyle w:val="Titolo3"/>
        <w:spacing w:before="0" w:beforeAutospacing="0" w:after="120" w:afterAutospacing="0" w:line="360" w:lineRule="auto"/>
        <w:rPr>
          <w:rFonts w:ascii="Georgia" w:hAnsi="Georgia" w:cs="Arial"/>
          <w:b w:val="0"/>
          <w:color w:val="1F497D" w:themeColor="text2"/>
          <w:sz w:val="36"/>
          <w:szCs w:val="36"/>
        </w:rPr>
      </w:pPr>
    </w:p>
    <w:p w14:paraId="4AC415F5" w14:textId="77777777" w:rsidR="002137BA" w:rsidRPr="0007346F" w:rsidRDefault="002137BA" w:rsidP="003C74F3">
      <w:pPr>
        <w:pStyle w:val="Titolo3"/>
        <w:spacing w:before="0" w:beforeAutospacing="0" w:after="120" w:afterAutospacing="0" w:line="360" w:lineRule="auto"/>
        <w:rPr>
          <w:rFonts w:ascii="Georgia" w:hAnsi="Georgia" w:cs="Arial"/>
          <w:b w:val="0"/>
          <w:color w:val="1F497D" w:themeColor="text2"/>
          <w:sz w:val="48"/>
          <w:szCs w:val="48"/>
        </w:rPr>
      </w:pPr>
      <w:r w:rsidRPr="0007346F">
        <w:rPr>
          <w:rFonts w:ascii="Georgia" w:hAnsi="Georgia" w:cs="Arial"/>
          <w:b w:val="0"/>
          <w:color w:val="1F497D" w:themeColor="text2"/>
          <w:sz w:val="48"/>
          <w:szCs w:val="48"/>
        </w:rPr>
        <w:lastRenderedPageBreak/>
        <w:t>Nota metodologica</w:t>
      </w:r>
    </w:p>
    <w:p w14:paraId="5F8B3464" w14:textId="77777777" w:rsidR="00BC4D4C" w:rsidRPr="00BC4D4C" w:rsidRDefault="00BC4D4C" w:rsidP="00BC4D4C">
      <w:pPr>
        <w:spacing w:after="120"/>
        <w:jc w:val="both"/>
        <w:rPr>
          <w:rFonts w:ascii="Arial" w:hAnsi="Arial" w:cs="Arial"/>
          <w:b/>
          <w:bCs/>
          <w:color w:val="1F497D" w:themeColor="text2"/>
          <w:sz w:val="22"/>
          <w:szCs w:val="22"/>
        </w:rPr>
      </w:pPr>
      <w:r w:rsidRPr="00BC4D4C">
        <w:rPr>
          <w:rFonts w:ascii="Arial" w:hAnsi="Arial" w:cs="Arial"/>
          <w:b/>
          <w:bCs/>
          <w:color w:val="1F497D" w:themeColor="text2"/>
          <w:sz w:val="22"/>
          <w:szCs w:val="22"/>
        </w:rPr>
        <w:t xml:space="preserve">Introduzione: obiettivi conoscitivi </w:t>
      </w:r>
    </w:p>
    <w:p w14:paraId="7A65B8BE"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 xml:space="preserve">La Rilevazione sulle iscrizioni e cancellazioni anagrafiche per trasferimento di residenza fornisce la base informativa per tutte le analisi sui flussi migratori interni e con l'estero. Essa ci permette di conoscere l'intensità e la direzione dei flussi, nonché le principali caratteristiche socio-demografiche di coloro che trasferiscono la propria residenza. Inoltre, sul fronte interno, le informazioni rilevate attraverso l’indagine consentono di studiare nel tempo la capacità attrattiva di alcune aree del Paese e di monitorare la consistenza dei movimenti migratori e il conseguente impatto che tali trasferimenti hanno sulla popolazione residente nei luoghi di origine e di destinazione dei flussi.  Sul fronte internazionale, invece, l’analisi dei flussi migratori con l’estero, distinti per cittadinanza, permette di valutare, in particolare, l’andamento dell’immigrazione straniera verso l’Italia e l’emigrazione degli italiani verso l’estero. </w:t>
      </w:r>
    </w:p>
    <w:p w14:paraId="2B6D37C0" w14:textId="77777777" w:rsidR="002261D9" w:rsidRPr="002261D9" w:rsidRDefault="000C4223" w:rsidP="002B2DF5">
      <w:pPr>
        <w:tabs>
          <w:tab w:val="left" w:pos="7826"/>
        </w:tabs>
        <w:spacing w:after="120"/>
        <w:jc w:val="both"/>
        <w:rPr>
          <w:rFonts w:ascii="Arial" w:hAnsi="Arial" w:cs="Arial"/>
          <w:bCs/>
          <w:sz w:val="20"/>
          <w:szCs w:val="20"/>
        </w:rPr>
      </w:pPr>
      <w:r w:rsidRPr="00C3204A">
        <w:rPr>
          <w:rFonts w:ascii="Arial" w:hAnsi="Arial" w:cs="Arial"/>
          <w:bCs/>
          <w:sz w:val="20"/>
          <w:szCs w:val="20"/>
        </w:rPr>
        <w:t>La rilevazione è inserita nel Programma Statistico Nazionale</w:t>
      </w:r>
      <w:r w:rsidR="003E2438" w:rsidRPr="00C3204A">
        <w:rPr>
          <w:rFonts w:ascii="Arial" w:hAnsi="Arial" w:cs="Arial"/>
          <w:bCs/>
          <w:sz w:val="20"/>
          <w:szCs w:val="20"/>
        </w:rPr>
        <w:t xml:space="preserve"> (codice IST-00119)</w:t>
      </w:r>
      <w:r w:rsidRPr="00C3204A">
        <w:rPr>
          <w:rFonts w:ascii="Arial" w:hAnsi="Arial" w:cs="Arial"/>
          <w:bCs/>
          <w:sz w:val="20"/>
          <w:szCs w:val="20"/>
        </w:rPr>
        <w:t>.</w:t>
      </w:r>
      <w:r w:rsidR="002B2DF5">
        <w:rPr>
          <w:rFonts w:ascii="Arial" w:hAnsi="Arial" w:cs="Arial"/>
          <w:bCs/>
          <w:sz w:val="20"/>
          <w:szCs w:val="20"/>
        </w:rPr>
        <w:tab/>
      </w:r>
    </w:p>
    <w:p w14:paraId="18009BCA" w14:textId="77777777" w:rsidR="00BC4D4C" w:rsidRPr="00D427A7" w:rsidRDefault="00BC4D4C" w:rsidP="00BC4D4C">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Riferimenti normativi</w:t>
      </w:r>
    </w:p>
    <w:p w14:paraId="6A656275"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A livello nazionale la norma di riferimento è il DPR 223/89 sul Regolamento Anagrafico.</w:t>
      </w:r>
    </w:p>
    <w:p w14:paraId="4E7F06AF"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La crescente esigenza di statistiche confrontabili a livello internazionale ha generato un processo di armonizzazione dei concetti e delle definizioni a livello europeo, secondo gli standard stabiliti dal Regolamento 862/2007 relativo alle statistiche comunitarie in materia di migrazione e di protezione internazionale (</w:t>
      </w:r>
      <w:proofErr w:type="spellStart"/>
      <w:r w:rsidRPr="00BC4D4C">
        <w:rPr>
          <w:rFonts w:ascii="Arial" w:hAnsi="Arial" w:cs="Arial"/>
          <w:bCs/>
          <w:sz w:val="20"/>
          <w:szCs w:val="20"/>
        </w:rPr>
        <w:t>Regulation</w:t>
      </w:r>
      <w:proofErr w:type="spellEnd"/>
      <w:r w:rsidRPr="00BC4D4C">
        <w:rPr>
          <w:rFonts w:ascii="Arial" w:hAnsi="Arial" w:cs="Arial"/>
          <w:bCs/>
          <w:sz w:val="20"/>
          <w:szCs w:val="20"/>
        </w:rPr>
        <w:t xml:space="preserve"> (</w:t>
      </w:r>
      <w:proofErr w:type="spellStart"/>
      <w:r w:rsidRPr="00BC4D4C">
        <w:rPr>
          <w:rFonts w:ascii="Arial" w:hAnsi="Arial" w:cs="Arial"/>
          <w:bCs/>
          <w:sz w:val="20"/>
          <w:szCs w:val="20"/>
        </w:rPr>
        <w:t>Ec</w:t>
      </w:r>
      <w:proofErr w:type="spellEnd"/>
      <w:r w:rsidRPr="00BC4D4C">
        <w:rPr>
          <w:rFonts w:ascii="Arial" w:hAnsi="Arial" w:cs="Arial"/>
          <w:bCs/>
          <w:sz w:val="20"/>
          <w:szCs w:val="20"/>
        </w:rPr>
        <w:t xml:space="preserve">) No 862/2007 Of The </w:t>
      </w:r>
      <w:proofErr w:type="spellStart"/>
      <w:r w:rsidRPr="00BC4D4C">
        <w:rPr>
          <w:rFonts w:ascii="Arial" w:hAnsi="Arial" w:cs="Arial"/>
          <w:bCs/>
          <w:sz w:val="20"/>
          <w:szCs w:val="20"/>
        </w:rPr>
        <w:t>European</w:t>
      </w:r>
      <w:proofErr w:type="spellEnd"/>
      <w:r w:rsidRPr="00BC4D4C">
        <w:rPr>
          <w:rFonts w:ascii="Arial" w:hAnsi="Arial" w:cs="Arial"/>
          <w:bCs/>
          <w:sz w:val="20"/>
          <w:szCs w:val="20"/>
        </w:rPr>
        <w:t xml:space="preserve"> </w:t>
      </w:r>
      <w:proofErr w:type="spellStart"/>
      <w:r w:rsidRPr="00BC4D4C">
        <w:rPr>
          <w:rFonts w:ascii="Arial" w:hAnsi="Arial" w:cs="Arial"/>
          <w:bCs/>
          <w:sz w:val="20"/>
          <w:szCs w:val="20"/>
        </w:rPr>
        <w:t>Parliament</w:t>
      </w:r>
      <w:proofErr w:type="spellEnd"/>
      <w:r w:rsidRPr="00BC4D4C">
        <w:rPr>
          <w:rFonts w:ascii="Arial" w:hAnsi="Arial" w:cs="Arial"/>
          <w:bCs/>
          <w:sz w:val="20"/>
          <w:szCs w:val="20"/>
        </w:rPr>
        <w:t xml:space="preserve"> And Of The Council of 11 July 2007 on Community </w:t>
      </w:r>
      <w:proofErr w:type="spellStart"/>
      <w:r w:rsidRPr="00BC4D4C">
        <w:rPr>
          <w:rFonts w:ascii="Arial" w:hAnsi="Arial" w:cs="Arial"/>
          <w:bCs/>
          <w:sz w:val="20"/>
          <w:szCs w:val="20"/>
        </w:rPr>
        <w:t>statistics</w:t>
      </w:r>
      <w:proofErr w:type="spellEnd"/>
      <w:r w:rsidRPr="00BC4D4C">
        <w:rPr>
          <w:rFonts w:ascii="Arial" w:hAnsi="Arial" w:cs="Arial"/>
          <w:bCs/>
          <w:sz w:val="20"/>
          <w:szCs w:val="20"/>
        </w:rPr>
        <w:t xml:space="preserve"> on </w:t>
      </w:r>
      <w:proofErr w:type="spellStart"/>
      <w:r w:rsidRPr="00BC4D4C">
        <w:rPr>
          <w:rFonts w:ascii="Arial" w:hAnsi="Arial" w:cs="Arial"/>
          <w:bCs/>
          <w:sz w:val="20"/>
          <w:szCs w:val="20"/>
        </w:rPr>
        <w:t>migration</w:t>
      </w:r>
      <w:proofErr w:type="spellEnd"/>
      <w:r w:rsidRPr="00BC4D4C">
        <w:rPr>
          <w:rFonts w:ascii="Arial" w:hAnsi="Arial" w:cs="Arial"/>
          <w:bCs/>
          <w:sz w:val="20"/>
          <w:szCs w:val="20"/>
        </w:rPr>
        <w:t xml:space="preserve"> and </w:t>
      </w:r>
      <w:proofErr w:type="spellStart"/>
      <w:r w:rsidRPr="00BC4D4C">
        <w:rPr>
          <w:rFonts w:ascii="Arial" w:hAnsi="Arial" w:cs="Arial"/>
          <w:bCs/>
          <w:sz w:val="20"/>
          <w:szCs w:val="20"/>
        </w:rPr>
        <w:t>international</w:t>
      </w:r>
      <w:proofErr w:type="spellEnd"/>
      <w:r w:rsidRPr="00BC4D4C">
        <w:rPr>
          <w:rFonts w:ascii="Arial" w:hAnsi="Arial" w:cs="Arial"/>
          <w:bCs/>
          <w:sz w:val="20"/>
          <w:szCs w:val="20"/>
        </w:rPr>
        <w:t xml:space="preserve"> </w:t>
      </w:r>
      <w:proofErr w:type="spellStart"/>
      <w:r w:rsidRPr="00BC4D4C">
        <w:rPr>
          <w:rFonts w:ascii="Arial" w:hAnsi="Arial" w:cs="Arial"/>
          <w:bCs/>
          <w:sz w:val="20"/>
          <w:szCs w:val="20"/>
        </w:rPr>
        <w:t>protection</w:t>
      </w:r>
      <w:proofErr w:type="spellEnd"/>
      <w:r w:rsidRPr="00BC4D4C">
        <w:rPr>
          <w:rFonts w:ascii="Arial" w:hAnsi="Arial" w:cs="Arial"/>
          <w:bCs/>
          <w:sz w:val="20"/>
          <w:szCs w:val="20"/>
        </w:rPr>
        <w:t xml:space="preserve"> and </w:t>
      </w:r>
      <w:proofErr w:type="spellStart"/>
      <w:r w:rsidRPr="00BC4D4C">
        <w:rPr>
          <w:rFonts w:ascii="Arial" w:hAnsi="Arial" w:cs="Arial"/>
          <w:bCs/>
          <w:sz w:val="20"/>
          <w:szCs w:val="20"/>
        </w:rPr>
        <w:t>repealing</w:t>
      </w:r>
      <w:proofErr w:type="spellEnd"/>
      <w:r w:rsidRPr="00BC4D4C">
        <w:rPr>
          <w:rFonts w:ascii="Arial" w:hAnsi="Arial" w:cs="Arial"/>
          <w:bCs/>
          <w:sz w:val="20"/>
          <w:szCs w:val="20"/>
        </w:rPr>
        <w:t xml:space="preserve"> </w:t>
      </w:r>
      <w:proofErr w:type="spellStart"/>
      <w:r w:rsidRPr="00BC4D4C">
        <w:rPr>
          <w:rFonts w:ascii="Arial" w:hAnsi="Arial" w:cs="Arial"/>
          <w:bCs/>
          <w:sz w:val="20"/>
          <w:szCs w:val="20"/>
        </w:rPr>
        <w:t>Council</w:t>
      </w:r>
      <w:proofErr w:type="spellEnd"/>
      <w:r w:rsidRPr="00BC4D4C">
        <w:rPr>
          <w:rFonts w:ascii="Arial" w:hAnsi="Arial" w:cs="Arial"/>
          <w:bCs/>
          <w:sz w:val="20"/>
          <w:szCs w:val="20"/>
        </w:rPr>
        <w:t xml:space="preserve"> </w:t>
      </w:r>
      <w:proofErr w:type="spellStart"/>
      <w:r w:rsidRPr="00BC4D4C">
        <w:rPr>
          <w:rFonts w:ascii="Arial" w:hAnsi="Arial" w:cs="Arial"/>
          <w:bCs/>
          <w:sz w:val="20"/>
          <w:szCs w:val="20"/>
        </w:rPr>
        <w:t>Regulation</w:t>
      </w:r>
      <w:proofErr w:type="spellEnd"/>
      <w:r w:rsidRPr="00BC4D4C">
        <w:rPr>
          <w:rFonts w:ascii="Arial" w:hAnsi="Arial" w:cs="Arial"/>
          <w:bCs/>
          <w:sz w:val="20"/>
          <w:szCs w:val="20"/>
        </w:rPr>
        <w:t xml:space="preserve"> (</w:t>
      </w:r>
      <w:proofErr w:type="spellStart"/>
      <w:r w:rsidRPr="00BC4D4C">
        <w:rPr>
          <w:rFonts w:ascii="Arial" w:hAnsi="Arial" w:cs="Arial"/>
          <w:bCs/>
          <w:sz w:val="20"/>
          <w:szCs w:val="20"/>
        </w:rPr>
        <w:t>Eec</w:t>
      </w:r>
      <w:proofErr w:type="spellEnd"/>
      <w:r w:rsidRPr="00BC4D4C">
        <w:rPr>
          <w:rFonts w:ascii="Arial" w:hAnsi="Arial" w:cs="Arial"/>
          <w:bCs/>
          <w:sz w:val="20"/>
          <w:szCs w:val="20"/>
        </w:rPr>
        <w:t xml:space="preserve">) No 311/76 on the compilation of </w:t>
      </w:r>
      <w:proofErr w:type="spellStart"/>
      <w:r w:rsidRPr="00BC4D4C">
        <w:rPr>
          <w:rFonts w:ascii="Arial" w:hAnsi="Arial" w:cs="Arial"/>
          <w:bCs/>
          <w:sz w:val="20"/>
          <w:szCs w:val="20"/>
        </w:rPr>
        <w:t>statistics</w:t>
      </w:r>
      <w:proofErr w:type="spellEnd"/>
      <w:r w:rsidRPr="00BC4D4C">
        <w:rPr>
          <w:rFonts w:ascii="Arial" w:hAnsi="Arial" w:cs="Arial"/>
          <w:bCs/>
          <w:sz w:val="20"/>
          <w:szCs w:val="20"/>
        </w:rPr>
        <w:t xml:space="preserve"> on </w:t>
      </w:r>
      <w:proofErr w:type="spellStart"/>
      <w:r w:rsidRPr="00BC4D4C">
        <w:rPr>
          <w:rFonts w:ascii="Arial" w:hAnsi="Arial" w:cs="Arial"/>
          <w:bCs/>
          <w:sz w:val="20"/>
          <w:szCs w:val="20"/>
        </w:rPr>
        <w:t>foreign</w:t>
      </w:r>
      <w:proofErr w:type="spellEnd"/>
      <w:r w:rsidRPr="00BC4D4C">
        <w:rPr>
          <w:rFonts w:ascii="Arial" w:hAnsi="Arial" w:cs="Arial"/>
          <w:bCs/>
          <w:sz w:val="20"/>
          <w:szCs w:val="20"/>
        </w:rPr>
        <w:t xml:space="preserve"> </w:t>
      </w:r>
      <w:proofErr w:type="spellStart"/>
      <w:r w:rsidRPr="00BC4D4C">
        <w:rPr>
          <w:rFonts w:ascii="Arial" w:hAnsi="Arial" w:cs="Arial"/>
          <w:bCs/>
          <w:sz w:val="20"/>
          <w:szCs w:val="20"/>
        </w:rPr>
        <w:t>workers</w:t>
      </w:r>
      <w:proofErr w:type="spellEnd"/>
      <w:r w:rsidRPr="00BC4D4C">
        <w:rPr>
          <w:rFonts w:ascii="Arial" w:hAnsi="Arial" w:cs="Arial"/>
          <w:bCs/>
          <w:sz w:val="20"/>
          <w:szCs w:val="20"/>
        </w:rPr>
        <w:t xml:space="preserve">). Il regolamento 862/2007 impone agli Stati membri, oltre alla trasmissione annuale delle statistiche sui flussi migratori con l’estero, anche la fornitura della composizione della popolazione residente al 31 dicembre di ciascun anno (stock), distinta per sesso, classe di età, cittadinanza e paese di nascita. </w:t>
      </w:r>
    </w:p>
    <w:p w14:paraId="7A303BCA" w14:textId="77777777" w:rsidR="00BC4D4C" w:rsidRPr="00D427A7" w:rsidRDefault="00BC4D4C" w:rsidP="00BC4D4C">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Storia</w:t>
      </w:r>
    </w:p>
    <w:p w14:paraId="2772BAE2"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La rilevazione ha origine nel 1955. L’acquisizione dei dati consisteva esclusivamente nella raccolta del materiale cartaceo, il controllo e la validazione dei dati attraverso l’analisi di tabelle comunali di confronto tra micro e macrodati. La prima documentazione del processo produttivo disponibile risale al 1995, anno in cui iniziano a introdursi i primi supporti informatici (floppy disk, cd rom). L’importante ristrutturazione, avviata nel 1995, impone sostanziali modifiche alle classificazioni (es: Stati esteri), alle modalità di codifica, alla tecnica di raccolta dei dati e alla registrazione dei dati su supporto informatico; l’analisi e la validazione dei dati avvenivano con procedure COBOL di correzione automatica e di imputazione di valori mancanti. Nel 2006, la nuova reingegnerizzazione del processo produttivo ha avuto, come fondamento, la migrazione dall’ormai obsoleto COBOL alla più dinamica analisi tabellare fornita da ORACLE. Attualmente le modalità di trasmissione degli APR.4 sono diventate obbligatoriamente completamente telematiche, grazie anche all’entrata in vigore della normativa sui “trasferimenti di residenza in tempo reale”.</w:t>
      </w:r>
    </w:p>
    <w:p w14:paraId="7778255F" w14:textId="77777777" w:rsidR="00BC4D4C" w:rsidRPr="00D427A7" w:rsidRDefault="00BC4D4C" w:rsidP="00BC4D4C">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Fonti di dati</w:t>
      </w:r>
    </w:p>
    <w:p w14:paraId="573EB355"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La Rilevazione si basa su un modello amministrativo (APR.4) compilato a cura delle Anagrafi comunali o degli Uffici di Statistica dei Comuni. Il modello APR.4 è diviso in tre sezioni: iscrizione anagrafica, cancellazione anagrafica e notizie sulle persone. Nelle parti relative alla iscrizione e alla cancellazione anagrafica si ricavano le informazioni relative al provvedimento anagrafico (iscrizione da altro Comune, iscrizione dall’estero, cancellazione per l’estero), alla data di decorrenza del movimento migratorio, all’origine e alla destinazione dei flussi (Comuni italiani o Stati esteri nel caso di movimento con l’estero). Le notizie sulle persone che trasferiscono la propria residenza riguardano: il sesso, la data di nascita, il Comune o lo Stato estero di nascita, lo stato civile, il titolo di studio, la condizione professionale, la posizione nella professione e la cittadinanza. Le Anagrafi comunali hanno l’obbligo di compilare il modello APR.4 per ogni individuo che intende trasferire la propria residenza presso un altro Comune italiano o presso un Paese estero. Esse, inoltre, si avvalgono di questo strumento anche per le consuete operazioni di aggiustamento anagrafico (iscrizioni per ricomparsa o altri motivi/cancellazioni per irreperibilità o altri motivi) ai fini di garantire un corretto calcolo della popolazione residente.</w:t>
      </w:r>
    </w:p>
    <w:p w14:paraId="1B72AD9B"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L’introduzione della legge sui “Trasferimenti di residenza in tempo reale” (Legge n.35 del 4/4/2012) ha modificato radicalmente il processo di formazione dell’atto amministrativo riducendo i tempi di lavorazione e le modalità di comunicazione tra soggetti coinvolti. La nuova norma impone la trasmissione telematica delle informazioni e una rapida lavorazione della richiesta di trasferimento di residenza. La richiesta di trasferimento di residenza può essere presentata dai cittadini italiani e da quelli stranieri purché, nel caso di stranieri extracomunitari, in possesso di regolare permesso di soggiorno.</w:t>
      </w:r>
    </w:p>
    <w:p w14:paraId="197AD21A"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L’invio dei modelli cartacei da parte dei Comuni è stato abolito nel 2013. La trasmissione dei modelli avviene esclusivamente per via telematica. Fino a settembre 2017 il sistema di acquisizione è stato ISI-</w:t>
      </w:r>
      <w:proofErr w:type="spellStart"/>
      <w:r w:rsidRPr="00BC4D4C">
        <w:rPr>
          <w:rFonts w:ascii="Arial" w:hAnsi="Arial" w:cs="Arial"/>
          <w:bCs/>
          <w:sz w:val="20"/>
          <w:szCs w:val="20"/>
        </w:rPr>
        <w:t>Istatel</w:t>
      </w:r>
      <w:proofErr w:type="spellEnd"/>
      <w:r w:rsidRPr="00BC4D4C">
        <w:rPr>
          <w:rFonts w:ascii="Arial" w:hAnsi="Arial" w:cs="Arial"/>
          <w:bCs/>
          <w:sz w:val="20"/>
          <w:szCs w:val="20"/>
        </w:rPr>
        <w:t xml:space="preserve">. Dal 1° </w:t>
      </w:r>
      <w:r w:rsidRPr="00BC4D4C">
        <w:rPr>
          <w:rFonts w:ascii="Arial" w:hAnsi="Arial" w:cs="Arial"/>
          <w:bCs/>
          <w:sz w:val="20"/>
          <w:szCs w:val="20"/>
        </w:rPr>
        <w:lastRenderedPageBreak/>
        <w:t>ottobre 2017 è entrato in attività il nuovo sistema GINO5, che uniforma e armonizza i processi di acquisizione di tutte le statistiche demografiche. La trasmissione dei modelli deve essere effettuata entro la fine del mese successivo a quello del trasferimento. Il processo di sollecito e recupero delle mancate risposte totali (modelli non pervenuti nei termini previsti) viene gestito centralmente, con la collaborazione degli uffici territoriali dell’Istat competenti per territorio.</w:t>
      </w:r>
    </w:p>
    <w:p w14:paraId="17DAEB2A" w14:textId="77777777" w:rsidR="00BC4D4C" w:rsidRPr="00D427A7" w:rsidRDefault="00BC4D4C" w:rsidP="00BC4D4C">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Processo e metodologie</w:t>
      </w:r>
    </w:p>
    <w:p w14:paraId="447C7B2E"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La rilevazione è totale ed ha periodicità annuale. L’unità di rilevazione è rappresentata dal Comune (normalmente l’ufficio Anagrafe o l’Ufficio di Statistica, quando presente) le unità di analisi sono rappresentate dalle iscrizioni e cancellazioni anagrafiche per trasferimento di residenza (tra Comuni e con l’estero) e dalle regolarizzazioni anagrafiche.</w:t>
      </w:r>
    </w:p>
    <w:p w14:paraId="768E7424"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 xml:space="preserve">Il processo di controllo e imputazione/correzione delle mancate risposte parziali/incompatibilità presenti nei modelli viene gestito centralmente e viene effettuato con procedure SAS rivolte a eliminare le principali anomalie, presenza di doppioni e le più significative incongruenze tra informazioni. Una successiva fase di controllo e correzione dei dati viene effettuata attraverso una specifica applicazione rivolta alla rilevazione di anomalie e alla correzione deterministica dei dati. I valori mancanti vengono imputati attraverso il software SCIA (Sistema di Controllo e di Imputazione Automatica) che esegue il controllo e la correzione di variabili qualitative applicando la metodologia di </w:t>
      </w:r>
      <w:proofErr w:type="spellStart"/>
      <w:r w:rsidRPr="00BC4D4C">
        <w:rPr>
          <w:rFonts w:ascii="Arial" w:hAnsi="Arial" w:cs="Arial"/>
          <w:bCs/>
          <w:sz w:val="20"/>
          <w:szCs w:val="20"/>
        </w:rPr>
        <w:t>Fellegi-Holt</w:t>
      </w:r>
      <w:proofErr w:type="spellEnd"/>
      <w:r w:rsidRPr="00BC4D4C">
        <w:rPr>
          <w:rFonts w:ascii="Arial" w:hAnsi="Arial" w:cs="Arial"/>
          <w:bCs/>
          <w:sz w:val="20"/>
          <w:szCs w:val="20"/>
        </w:rPr>
        <w:t>. L’ultima fase riguarda il controllo di congruenza dei dati acquisiti con quelli provenienti dal Movimento e calcolo annuale della popolazione residente (rilevazione Istat/P.2&amp;P.3).</w:t>
      </w:r>
    </w:p>
    <w:p w14:paraId="520A8083" w14:textId="77777777" w:rsidR="00BC4D4C" w:rsidRPr="00D427A7" w:rsidRDefault="00BC4D4C" w:rsidP="00BC4D4C">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Classificazioni</w:t>
      </w:r>
    </w:p>
    <w:p w14:paraId="77F1101B"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Le principali classificazioni di riferimento per la rilevazione sono quella sui  Codici dei Comuni, delle Province, Regioni e Ripartizioni (</w:t>
      </w:r>
      <w:hyperlink r:id="rId26" w:history="1">
        <w:r w:rsidRPr="00BC4D4C">
          <w:rPr>
            <w:rStyle w:val="Collegamentoipertestuale"/>
            <w:rFonts w:ascii="Arial" w:hAnsi="Arial" w:cs="Arial"/>
            <w:bCs/>
            <w:sz w:val="20"/>
            <w:szCs w:val="20"/>
          </w:rPr>
          <w:t>http://www.istat.it/it/archivio/6789</w:t>
        </w:r>
      </w:hyperlink>
      <w:r w:rsidRPr="00BC4D4C">
        <w:rPr>
          <w:rFonts w:ascii="Arial" w:hAnsi="Arial" w:cs="Arial"/>
          <w:bCs/>
          <w:sz w:val="20"/>
          <w:szCs w:val="20"/>
        </w:rPr>
        <w:t>) e quella sulla Classificazione degli Stati esteri (</w:t>
      </w:r>
      <w:hyperlink r:id="rId27" w:history="1">
        <w:r w:rsidRPr="00BC4D4C">
          <w:rPr>
            <w:rStyle w:val="Collegamentoipertestuale"/>
            <w:rFonts w:ascii="Arial" w:hAnsi="Arial" w:cs="Arial"/>
            <w:bCs/>
            <w:sz w:val="20"/>
            <w:szCs w:val="20"/>
          </w:rPr>
          <w:t>http://www.istat.it/it/archivio/6747</w:t>
        </w:r>
      </w:hyperlink>
      <w:r w:rsidRPr="00BC4D4C">
        <w:rPr>
          <w:rFonts w:ascii="Arial" w:hAnsi="Arial" w:cs="Arial"/>
          <w:bCs/>
          <w:sz w:val="20"/>
          <w:szCs w:val="20"/>
        </w:rPr>
        <w:t>). La classificazione dell’età, quando non diversamente indicato, è in anni compiuti al momento del trasferimento di residenza.</w:t>
      </w:r>
    </w:p>
    <w:p w14:paraId="7603D8F0"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La classificazione del titolo di studio è la seguente: nessun titolo/licenza elementare; licenza media inferiore; diploma di scuola media superiore; laurea triennale (breve); diploma di laurea/laurea specialistica; dottorato di ricerca.</w:t>
      </w:r>
    </w:p>
    <w:p w14:paraId="0CA65638" w14:textId="77777777" w:rsidR="00BC4D4C" w:rsidRPr="00D427A7" w:rsidRDefault="00BC4D4C" w:rsidP="00BC4D4C">
      <w:pPr>
        <w:spacing w:after="120"/>
        <w:jc w:val="both"/>
        <w:rPr>
          <w:rFonts w:ascii="Arial" w:hAnsi="Arial" w:cs="Arial"/>
          <w:b/>
          <w:bCs/>
          <w:color w:val="1F497D" w:themeColor="text2"/>
          <w:sz w:val="22"/>
          <w:szCs w:val="22"/>
        </w:rPr>
      </w:pPr>
      <w:r w:rsidRPr="00D427A7">
        <w:rPr>
          <w:rFonts w:ascii="Arial" w:hAnsi="Arial" w:cs="Arial"/>
          <w:b/>
          <w:bCs/>
          <w:color w:val="1F497D" w:themeColor="text2"/>
          <w:sz w:val="22"/>
          <w:szCs w:val="22"/>
        </w:rPr>
        <w:t>Output informativo</w:t>
      </w:r>
    </w:p>
    <w:p w14:paraId="64464C87"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 xml:space="preserve">L'indagine fornisce annualmente le statistiche sulla mobilità residenziale tra Comuni italiani e i flussi migratori da e per l’estero, disaggregati per le principali caratteristiche socio-demografiche. I microdati in diffusione riguardanti i trasferimenti di residenza con l’estero sono coerenti, per genere e Comune, con i corrispondenti flussi migratori riportati in forma aggregata nei bilanci annuali del movimento della popolazione residente (rilevazione Istat/P.2&amp;P.3). </w:t>
      </w:r>
    </w:p>
    <w:p w14:paraId="77F2BAFF" w14:textId="77777777" w:rsidR="00BC4D4C" w:rsidRPr="00BC4D4C" w:rsidRDefault="00BC4D4C" w:rsidP="00BC4D4C">
      <w:pPr>
        <w:spacing w:after="120"/>
        <w:jc w:val="both"/>
        <w:rPr>
          <w:rFonts w:ascii="Arial" w:hAnsi="Arial" w:cs="Arial"/>
          <w:bCs/>
          <w:sz w:val="20"/>
          <w:szCs w:val="20"/>
        </w:rPr>
      </w:pPr>
    </w:p>
    <w:p w14:paraId="35FCAE51" w14:textId="77777777" w:rsidR="00BC4D4C" w:rsidRPr="00BC4D4C" w:rsidRDefault="00BC4D4C" w:rsidP="00BC4D4C">
      <w:pPr>
        <w:spacing w:after="120"/>
        <w:jc w:val="both"/>
        <w:rPr>
          <w:rFonts w:ascii="Arial" w:hAnsi="Arial" w:cs="Arial"/>
          <w:b/>
          <w:bCs/>
          <w:sz w:val="20"/>
          <w:szCs w:val="20"/>
        </w:rPr>
      </w:pPr>
      <w:r w:rsidRPr="00D427A7">
        <w:rPr>
          <w:rFonts w:ascii="Arial" w:hAnsi="Arial" w:cs="Arial"/>
          <w:b/>
          <w:bCs/>
          <w:color w:val="1F497D" w:themeColor="text2"/>
          <w:sz w:val="22"/>
          <w:szCs w:val="22"/>
        </w:rPr>
        <w:t>La diffusione delle statistiche: banche dati, tempestività e dettaglio territoriale</w:t>
      </w:r>
    </w:p>
    <w:p w14:paraId="39B81FA2"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 xml:space="preserve">Le informazioni sulla mobilità residenziale interna e con l’estero sono prodotte annualmente, articolando le statistiche in base alle principali caratteristiche socio-demografiche. </w:t>
      </w:r>
    </w:p>
    <w:p w14:paraId="67A26B42"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 xml:space="preserve">Tali statistiche sono regolarmente diffuse fino al livello provinciale sul </w:t>
      </w:r>
      <w:r w:rsidRPr="00BC4D4C">
        <w:rPr>
          <w:rFonts w:ascii="Arial" w:hAnsi="Arial" w:cs="Arial"/>
          <w:bCs/>
          <w:i/>
          <w:sz w:val="20"/>
          <w:szCs w:val="20"/>
        </w:rPr>
        <w:t>datawarehouse</w:t>
      </w:r>
      <w:r w:rsidRPr="00BC4D4C">
        <w:rPr>
          <w:rFonts w:ascii="Arial" w:hAnsi="Arial" w:cs="Arial"/>
          <w:bCs/>
          <w:sz w:val="20"/>
          <w:szCs w:val="20"/>
        </w:rPr>
        <w:t xml:space="preserve"> “I.Stat”, all’indirizzo </w:t>
      </w:r>
      <w:hyperlink r:id="rId28" w:history="1">
        <w:r w:rsidRPr="00BC4D4C">
          <w:rPr>
            <w:rStyle w:val="Collegamentoipertestuale"/>
            <w:rFonts w:ascii="Arial" w:hAnsi="Arial" w:cs="Arial"/>
            <w:bCs/>
            <w:sz w:val="20"/>
            <w:szCs w:val="20"/>
          </w:rPr>
          <w:t>http://dati.istat.it/</w:t>
        </w:r>
      </w:hyperlink>
      <w:r w:rsidRPr="00BC4D4C">
        <w:rPr>
          <w:rFonts w:ascii="Arial" w:hAnsi="Arial" w:cs="Arial"/>
          <w:bCs/>
          <w:sz w:val="20"/>
          <w:szCs w:val="20"/>
        </w:rPr>
        <w:t xml:space="preserve">, così come sul </w:t>
      </w:r>
      <w:r w:rsidRPr="00BC4D4C">
        <w:rPr>
          <w:rFonts w:ascii="Arial" w:hAnsi="Arial" w:cs="Arial"/>
          <w:bCs/>
          <w:i/>
          <w:sz w:val="20"/>
          <w:szCs w:val="20"/>
        </w:rPr>
        <w:t>datawarehouse</w:t>
      </w:r>
      <w:r w:rsidRPr="00BC4D4C">
        <w:rPr>
          <w:rFonts w:ascii="Arial" w:hAnsi="Arial" w:cs="Arial"/>
          <w:bCs/>
          <w:sz w:val="20"/>
          <w:szCs w:val="20"/>
        </w:rPr>
        <w:t xml:space="preserve"> tematico “DEMO”, all’indirizzo </w:t>
      </w:r>
      <w:hyperlink r:id="rId29" w:history="1">
        <w:r w:rsidRPr="00BC4D4C">
          <w:rPr>
            <w:rStyle w:val="Collegamentoipertestuale"/>
            <w:rFonts w:ascii="Arial" w:hAnsi="Arial" w:cs="Arial"/>
            <w:bCs/>
            <w:sz w:val="20"/>
            <w:szCs w:val="20"/>
          </w:rPr>
          <w:t>http://demo.istat.it</w:t>
        </w:r>
      </w:hyperlink>
      <w:r w:rsidRPr="00BC4D4C">
        <w:rPr>
          <w:rFonts w:ascii="Arial" w:hAnsi="Arial" w:cs="Arial"/>
          <w:bCs/>
          <w:sz w:val="20"/>
          <w:szCs w:val="20"/>
        </w:rPr>
        <w:t xml:space="preserve"> (sezione “Altri dati”). Attualmente, le statistiche sono diffuse a 11 mesi di distanza dall’anno di riferimento dei dati.</w:t>
      </w:r>
    </w:p>
    <w:p w14:paraId="5CF9A1E9"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 xml:space="preserve">Inoltre, a conclusione del processo produttivo della rilevazione, con cadenza annuale e in forma definitiva, i risultati ottenuti vengono pubblicati attraverso i seguenti canali di diffusione: </w:t>
      </w:r>
    </w:p>
    <w:p w14:paraId="6FC546CD"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1 La Statistica Report “Migrazioni interne e internazionali della popolazione residente” Statistiche report</w:t>
      </w:r>
    </w:p>
    <w:p w14:paraId="7E3A1A88"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2. Parte degli output delle migrazioni sono diffusi sul volume istituzionale “Annuario Statistico Italiano” e sul “Rapporto annuale”.</w:t>
      </w:r>
    </w:p>
    <w:p w14:paraId="1618E18C" w14:textId="77777777" w:rsidR="00BC4D4C" w:rsidRPr="00BC4D4C" w:rsidRDefault="00BC4D4C" w:rsidP="00BC4D4C">
      <w:pPr>
        <w:spacing w:after="120"/>
        <w:jc w:val="both"/>
        <w:rPr>
          <w:rFonts w:ascii="Arial" w:hAnsi="Arial" w:cs="Arial"/>
          <w:bCs/>
          <w:sz w:val="20"/>
          <w:szCs w:val="20"/>
        </w:rPr>
      </w:pPr>
      <w:r w:rsidRPr="00BC4D4C">
        <w:rPr>
          <w:rFonts w:ascii="Arial" w:hAnsi="Arial" w:cs="Arial"/>
          <w:bCs/>
          <w:sz w:val="20"/>
          <w:szCs w:val="20"/>
        </w:rPr>
        <w:t>I dati elementari rilevati nel corso dell'indagine sono resi disponibili per gli utenti che ne facciano richiesta. In ogni caso, i dati sono rilasciati in forma anonima.</w:t>
      </w:r>
    </w:p>
    <w:sectPr w:rsidR="00BC4D4C" w:rsidRPr="00BC4D4C" w:rsidSect="002261D9">
      <w:footerReference w:type="default" r:id="rId30"/>
      <w:pgSz w:w="11906" w:h="16838" w:code="9"/>
      <w:pgMar w:top="567" w:right="992" w:bottom="714" w:left="992" w:header="0" w:footer="0" w:gutter="0"/>
      <w:cols w:space="4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72CF1" w14:textId="77777777" w:rsidR="00F5034F" w:rsidRDefault="00F5034F">
      <w:r>
        <w:separator/>
      </w:r>
    </w:p>
  </w:endnote>
  <w:endnote w:type="continuationSeparator" w:id="0">
    <w:p w14:paraId="47707259" w14:textId="77777777" w:rsidR="00F5034F" w:rsidRDefault="00F5034F">
      <w:r>
        <w:continuationSeparator/>
      </w:r>
    </w:p>
  </w:endnote>
  <w:endnote w:id="1">
    <w:p w14:paraId="7ABE95CF" w14:textId="37528777" w:rsidR="007A6C99" w:rsidRPr="00677009" w:rsidRDefault="007A6C99" w:rsidP="00536953">
      <w:pPr>
        <w:pStyle w:val="Testonotadichiusura"/>
        <w:jc w:val="both"/>
        <w:rPr>
          <w:rFonts w:ascii="Arial Narrow" w:hAnsi="Arial Narrow"/>
        </w:rPr>
      </w:pPr>
      <w:r w:rsidRPr="00677009">
        <w:rPr>
          <w:rStyle w:val="Rimandonotadichiusura"/>
          <w:rFonts w:ascii="Arial Narrow" w:hAnsi="Arial Narrow"/>
        </w:rPr>
        <w:endnoteRef/>
      </w:r>
      <w:r w:rsidR="00917331">
        <w:t xml:space="preserve"> </w:t>
      </w:r>
      <w:r w:rsidRPr="00917331">
        <w:t xml:space="preserve">Si tratta di una stima basata sul luogo di nascita, informazione che rappresenta una valida </w:t>
      </w:r>
      <w:proofErr w:type="spellStart"/>
      <w:r w:rsidRPr="00917331">
        <w:t>proxi</w:t>
      </w:r>
      <w:proofErr w:type="spellEnd"/>
      <w:r w:rsidRPr="00917331">
        <w:t xml:space="preserve"> del background migratorio</w:t>
      </w:r>
      <w:r w:rsidRPr="00677009">
        <w:rPr>
          <w:rFonts w:ascii="Arial Narrow" w:hAnsi="Arial Narrow"/>
        </w:rPr>
        <w:t>.</w:t>
      </w:r>
    </w:p>
  </w:endnote>
  <w:endnote w:id="2">
    <w:p w14:paraId="42241C3F" w14:textId="766DBEA5" w:rsidR="00EA60AC" w:rsidRDefault="00EA60AC">
      <w:pPr>
        <w:pStyle w:val="Testonotadichiusura"/>
      </w:pPr>
      <w:r>
        <w:rPr>
          <w:rStyle w:val="Rimandonotadichiusura"/>
        </w:rPr>
        <w:endnoteRef/>
      </w:r>
      <w:r>
        <w:t xml:space="preserve"> </w:t>
      </w:r>
      <w:r w:rsidR="0098125E">
        <w:t>Cfr. Istat, Rapporto annuale 2019 – La situazione del Paese</w:t>
      </w:r>
    </w:p>
  </w:endnote>
  <w:endnote w:id="3">
    <w:p w14:paraId="15DBDD62" w14:textId="6CEBFA70" w:rsidR="00DB61BB" w:rsidRDefault="00DB61BB">
      <w:pPr>
        <w:pStyle w:val="Testonotadichiusura"/>
      </w:pPr>
      <w:r>
        <w:rPr>
          <w:rStyle w:val="Rimandonotadichiusura"/>
        </w:rPr>
        <w:endnoteRef/>
      </w:r>
      <w:r>
        <w:t xml:space="preserve"> </w:t>
      </w:r>
      <w:proofErr w:type="spellStart"/>
      <w:r w:rsidR="0098125E">
        <w:t>Cfr</w:t>
      </w:r>
      <w:proofErr w:type="spellEnd"/>
      <w:r w:rsidR="0098125E">
        <w:t xml:space="preserve"> Istat, Statistiche </w:t>
      </w:r>
      <w:r>
        <w:t>Report</w:t>
      </w:r>
      <w:r w:rsidR="0098125E">
        <w:t xml:space="preserve">, </w:t>
      </w:r>
      <w:r w:rsidR="00495C5E">
        <w:t>C</w:t>
      </w:r>
      <w:r>
        <w:t>ittadini non comunitari</w:t>
      </w:r>
      <w:r w:rsidR="00495C5E">
        <w:t xml:space="preserve"> in Italia. Anni 2018-2019.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20352" w14:textId="77777777" w:rsidR="00E812AE" w:rsidRDefault="00E812A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E466184" w14:textId="77777777" w:rsidR="00E812AE" w:rsidRDefault="00E812AE">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335918"/>
      <w:docPartObj>
        <w:docPartGallery w:val="Page Numbers (Bottom of Page)"/>
        <w:docPartUnique/>
      </w:docPartObj>
    </w:sdtPr>
    <w:sdtEndPr/>
    <w:sdtContent>
      <w:p w14:paraId="7826DF47" w14:textId="77777777" w:rsidR="00E812AE" w:rsidRDefault="00E812AE">
        <w:pPr>
          <w:pStyle w:val="Pidipagina"/>
        </w:pPr>
        <w:r>
          <w:fldChar w:fldCharType="begin"/>
        </w:r>
        <w:r>
          <w:instrText>PAGE   \* MERGEFORMAT</w:instrText>
        </w:r>
        <w:r>
          <w:fldChar w:fldCharType="separate"/>
        </w:r>
        <w:r w:rsidR="004E1ED3">
          <w:rPr>
            <w:noProof/>
          </w:rPr>
          <w:t>2</w:t>
        </w:r>
        <w:r>
          <w:fldChar w:fldCharType="end"/>
        </w:r>
      </w:p>
    </w:sdtContent>
  </w:sdt>
  <w:p w14:paraId="065095C4" w14:textId="77777777" w:rsidR="00E812AE" w:rsidRDefault="00E812AE" w:rsidP="00842757">
    <w:pPr>
      <w:pStyle w:val="Pidipagina"/>
      <w:tabs>
        <w:tab w:val="clear" w:pos="4819"/>
        <w:tab w:val="clear" w:pos="9638"/>
        <w:tab w:val="left" w:pos="777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80F38" w14:textId="77777777" w:rsidR="00E812AE" w:rsidRPr="00C469C4" w:rsidRDefault="00E812AE" w:rsidP="00C469C4">
    <w:pPr>
      <w:pStyle w:val="Pidipagina"/>
      <w:ind w:left="-851"/>
      <w:rPr>
        <w:sz w:val="18"/>
      </w:rPr>
    </w:pPr>
    <w:r>
      <w:rPr>
        <w:noProof/>
        <w:sz w:val="18"/>
      </w:rPr>
      <w:drawing>
        <wp:inline distT="0" distB="0" distL="0" distR="0" wp14:anchorId="56E64DFB" wp14:editId="5C4A73EB">
          <wp:extent cx="7560000" cy="16452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1"/>
                  <a:stretch>
                    <a:fillRect/>
                  </a:stretch>
                </pic:blipFill>
                <pic:spPr>
                  <a:xfrm>
                    <a:off x="0" y="0"/>
                    <a:ext cx="7560000" cy="16452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highlight w:val="lightGray"/>
      </w:rPr>
      <w:id w:val="402640708"/>
      <w:docPartObj>
        <w:docPartGallery w:val="Page Numbers (Bottom of Page)"/>
        <w:docPartUnique/>
      </w:docPartObj>
    </w:sdtPr>
    <w:sdtEndPr/>
    <w:sdtContent>
      <w:p w14:paraId="4DD50D71" w14:textId="77777777" w:rsidR="00E812AE" w:rsidRDefault="00E812AE">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85376" behindDoc="0" locked="0" layoutInCell="1" allowOverlap="1" wp14:anchorId="13986644" wp14:editId="5897ECC8">
                  <wp:simplePos x="0" y="0"/>
                  <wp:positionH relativeFrom="column">
                    <wp:posOffset>-10160</wp:posOffset>
                  </wp:positionH>
                  <wp:positionV relativeFrom="paragraph">
                    <wp:posOffset>-2532381</wp:posOffset>
                  </wp:positionV>
                  <wp:extent cx="6299835" cy="0"/>
                  <wp:effectExtent l="0" t="0" r="24765" b="19050"/>
                  <wp:wrapNone/>
                  <wp:docPr id="18"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4A2A34" id="Connettore 1 12" o:spid="_x0000_s1026" style="position:absolute;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fQ1Zyu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63872" behindDoc="0" locked="0" layoutInCell="1" allowOverlap="1" wp14:anchorId="5763A9B1" wp14:editId="2571E0DD">
                  <wp:simplePos x="0" y="0"/>
                  <wp:positionH relativeFrom="column">
                    <wp:posOffset>-10160</wp:posOffset>
                  </wp:positionH>
                  <wp:positionV relativeFrom="paragraph">
                    <wp:posOffset>-127636</wp:posOffset>
                  </wp:positionV>
                  <wp:extent cx="6299835" cy="0"/>
                  <wp:effectExtent l="0" t="0" r="24765" b="19050"/>
                  <wp:wrapNone/>
                  <wp:docPr id="17"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E0B355" id="Connettore 1 28"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KW1Dln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r w:rsidRPr="00A17739">
          <w:rPr>
            <w:rFonts w:ascii="Arial" w:hAnsi="Arial" w:cs="Arial"/>
            <w:noProof/>
            <w:sz w:val="22"/>
            <w:szCs w:val="22"/>
          </w:rPr>
          <w:drawing>
            <wp:anchor distT="0" distB="0" distL="114300" distR="114300" simplePos="0" relativeHeight="251659776" behindDoc="0" locked="0" layoutInCell="1" allowOverlap="1" wp14:anchorId="1CCC57E7" wp14:editId="6654F5AF">
              <wp:simplePos x="0" y="0"/>
              <wp:positionH relativeFrom="column">
                <wp:posOffset>-545465</wp:posOffset>
              </wp:positionH>
              <wp:positionV relativeFrom="paragraph">
                <wp:posOffset>-3345505</wp:posOffset>
              </wp:positionV>
              <wp:extent cx="466725" cy="483235"/>
              <wp:effectExtent l="0" t="0" r="9525" b="0"/>
              <wp:wrapNone/>
              <wp:docPr id="36" name="Immagin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862666493"/>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53632" behindDoc="0" locked="0" layoutInCell="0" allowOverlap="1" wp14:anchorId="64622053" wp14:editId="237F039E">
                      <wp:simplePos x="0" y="0"/>
                      <wp:positionH relativeFrom="rightMargin">
                        <wp:posOffset>179070</wp:posOffset>
                      </wp:positionH>
                      <wp:positionV relativeFrom="margin">
                        <wp:posOffset>9758045</wp:posOffset>
                      </wp:positionV>
                      <wp:extent cx="398780" cy="329565"/>
                      <wp:effectExtent l="0" t="0" r="0" b="0"/>
                      <wp:wrapNone/>
                      <wp:docPr id="1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2CC9EC76" w14:textId="77777777" w:rsidR="00E812AE" w:rsidRPr="001B745D" w:rsidRDefault="00E812AE"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1503DC">
                                    <w:rPr>
                                      <w:rFonts w:ascii="Arial" w:hAnsi="Arial" w:cs="Arial"/>
                                      <w:b/>
                                      <w:noProof/>
                                      <w:color w:val="244061" w:themeColor="accent1" w:themeShade="80"/>
                                      <w:sz w:val="20"/>
                                      <w:szCs w:val="20"/>
                                    </w:rPr>
                                    <w:t>10</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ttangolo 4" o:spid="_x0000_s1027" style="position:absolute;margin-left:14.1pt;margin-top:768.35pt;width:31.4pt;height:25.95pt;z-index:25165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" o:allowincell="f" filled="f" stroked="f">
                      <v:textbox>
                        <w:txbxContent>
                          <w:p w14:paraId="2CC9EC76" w14:textId="77777777" w:rsidR="00E812AE" w:rsidRPr="001B745D" w:rsidRDefault="00E812AE"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1503DC">
                              <w:rPr>
                                <w:rFonts w:ascii="Arial" w:hAnsi="Arial" w:cs="Arial"/>
                                <w:b/>
                                <w:noProof/>
                                <w:color w:val="244061" w:themeColor="accent1" w:themeShade="80"/>
                                <w:sz w:val="20"/>
                                <w:szCs w:val="20"/>
                              </w:rPr>
                              <w:t>10</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54656" behindDoc="0" locked="0" layoutInCell="1" allowOverlap="1" wp14:anchorId="5ABA9AB7" wp14:editId="43CE41E9">
                  <wp:simplePos x="0" y="0"/>
                  <wp:positionH relativeFrom="column">
                    <wp:posOffset>5678170</wp:posOffset>
                  </wp:positionH>
                  <wp:positionV relativeFrom="paragraph">
                    <wp:posOffset>-263525</wp:posOffset>
                  </wp:positionV>
                  <wp:extent cx="1256030" cy="788035"/>
                  <wp:effectExtent l="0" t="0" r="1270" b="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43392" behindDoc="0" locked="0" layoutInCell="1" allowOverlap="1" wp14:anchorId="5AC362E8" wp14:editId="14B64144">
                      <wp:simplePos x="0" y="0"/>
                      <wp:positionH relativeFrom="column">
                        <wp:posOffset>-620395</wp:posOffset>
                      </wp:positionH>
                      <wp:positionV relativeFrom="paragraph">
                        <wp:posOffset>-3084195</wp:posOffset>
                      </wp:positionV>
                      <wp:extent cx="7553325" cy="3476625"/>
                      <wp:effectExtent l="0" t="0" r="9525" b="9525"/>
                      <wp:wrapNone/>
                      <wp:docPr id="15"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12ADC" id="Rettangolo 10" o:spid="_x0000_s1026" style="position:absolute;margin-left:-48.85pt;margin-top:-242.85pt;width:594.75pt;height:27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" fillcolor="#d8d8d8 [2732]" stroked="f" strokeweight="2pt"/>
                  </w:pict>
                </mc:Fallback>
              </mc:AlternateContent>
            </w:r>
          </w:sdtContent>
        </w:sdt>
      </w:p>
    </w:sdtContent>
  </w:sdt>
  <w:p w14:paraId="017194C7" w14:textId="77777777" w:rsidR="00E812AE" w:rsidRDefault="00E812AE" w:rsidP="00842757">
    <w:pPr>
      <w:pStyle w:val="Pidipagina"/>
      <w:tabs>
        <w:tab w:val="clear" w:pos="4819"/>
        <w:tab w:val="clear" w:pos="9638"/>
        <w:tab w:val="left" w:pos="777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highlight w:val="lightGray"/>
      </w:rPr>
      <w:id w:val="-1552604650"/>
      <w:docPartObj>
        <w:docPartGallery w:val="Page Numbers (Bottom of Page)"/>
        <w:docPartUnique/>
      </w:docPartObj>
    </w:sdtPr>
    <w:sdtEndPr/>
    <w:sdtContent>
      <w:p w14:paraId="2F451957" w14:textId="77777777" w:rsidR="00E812AE" w:rsidRDefault="00E812AE">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92544" behindDoc="0" locked="0" layoutInCell="1" allowOverlap="1" wp14:anchorId="2EF27F28" wp14:editId="2804F6E0">
                  <wp:simplePos x="0" y="0"/>
                  <wp:positionH relativeFrom="column">
                    <wp:posOffset>-10160</wp:posOffset>
                  </wp:positionH>
                  <wp:positionV relativeFrom="paragraph">
                    <wp:posOffset>-2532381</wp:posOffset>
                  </wp:positionV>
                  <wp:extent cx="6299835" cy="0"/>
                  <wp:effectExtent l="0" t="0" r="24765" b="19050"/>
                  <wp:wrapNone/>
                  <wp:docPr id="14"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7BD720" id="Connettore 1 12" o:spid="_x0000_s1026" style="position:absolute;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wpfyIe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91520" behindDoc="0" locked="0" layoutInCell="1" allowOverlap="1" wp14:anchorId="617FC4F1" wp14:editId="7DB33C05">
                  <wp:simplePos x="0" y="0"/>
                  <wp:positionH relativeFrom="column">
                    <wp:posOffset>-10160</wp:posOffset>
                  </wp:positionH>
                  <wp:positionV relativeFrom="paragraph">
                    <wp:posOffset>-127636</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BA976D" id="Connettore 1 28"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NSIgp7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sdt>
          <w:sdtPr>
            <w:rPr>
              <w:rFonts w:asciiTheme="majorHAnsi" w:eastAsiaTheme="majorEastAsia" w:hAnsiTheme="majorHAnsi" w:cstheme="majorBidi"/>
              <w:highlight w:val="lightGray"/>
            </w:rPr>
            <w:id w:val="-156538668"/>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89472" behindDoc="0" locked="0" layoutInCell="0" allowOverlap="1" wp14:anchorId="6012904A" wp14:editId="4336461E">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4C306837" w14:textId="77777777" w:rsidR="00E812AE" w:rsidRPr="001B745D" w:rsidRDefault="00E812AE"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1503DC">
                                    <w:rPr>
                                      <w:rFonts w:ascii="Arial" w:hAnsi="Arial" w:cs="Arial"/>
                                      <w:b/>
                                      <w:noProof/>
                                      <w:color w:val="244061" w:themeColor="accent1" w:themeShade="80"/>
                                      <w:sz w:val="20"/>
                                      <w:szCs w:val="20"/>
                                    </w:rPr>
                                    <w:t>11</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_x0000_s1028" style="position:absolute;margin-left:14.1pt;margin-top:768.35pt;width:31.4pt;height:25.95pt;z-index:251689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" o:allowincell="f" filled="f" stroked="f">
                      <v:textbox>
                        <w:txbxContent>
                          <w:p w14:paraId="4C306837" w14:textId="77777777" w:rsidR="00E812AE" w:rsidRPr="001B745D" w:rsidRDefault="00E812AE"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1503DC">
                              <w:rPr>
                                <w:rFonts w:ascii="Arial" w:hAnsi="Arial" w:cs="Arial"/>
                                <w:b/>
                                <w:noProof/>
                                <w:color w:val="244061" w:themeColor="accent1" w:themeShade="80"/>
                                <w:sz w:val="20"/>
                                <w:szCs w:val="20"/>
                              </w:rPr>
                              <w:t>11</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88448" behindDoc="0" locked="0" layoutInCell="1" allowOverlap="1" wp14:anchorId="142CC192" wp14:editId="140ABB42">
                  <wp:simplePos x="0" y="0"/>
                  <wp:positionH relativeFrom="column">
                    <wp:posOffset>5678170</wp:posOffset>
                  </wp:positionH>
                  <wp:positionV relativeFrom="paragraph">
                    <wp:posOffset>-263525</wp:posOffset>
                  </wp:positionV>
                  <wp:extent cx="1256030" cy="788035"/>
                  <wp:effectExtent l="0" t="0" r="127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sdtContent>
        </w:sdt>
      </w:p>
    </w:sdtContent>
  </w:sdt>
  <w:p w14:paraId="08E9E3C5" w14:textId="77777777" w:rsidR="00E812AE" w:rsidRDefault="00E812AE" w:rsidP="00842757">
    <w:pPr>
      <w:pStyle w:val="Pidipagina"/>
      <w:tabs>
        <w:tab w:val="clear" w:pos="4819"/>
        <w:tab w:val="clear" w:pos="9638"/>
        <w:tab w:val="left" w:pos="777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4073C" w14:textId="77777777" w:rsidR="00F5034F" w:rsidRDefault="00F5034F">
      <w:r>
        <w:separator/>
      </w:r>
    </w:p>
  </w:footnote>
  <w:footnote w:type="continuationSeparator" w:id="0">
    <w:p w14:paraId="0723B8E4" w14:textId="77777777" w:rsidR="00F5034F" w:rsidRDefault="00F50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2AB1B" w14:textId="77777777" w:rsidR="00E812AE" w:rsidRDefault="00E812AE"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5C87ADDD" wp14:editId="5C25CFED">
              <wp:simplePos x="0" y="0"/>
              <wp:positionH relativeFrom="column">
                <wp:posOffset>5397500</wp:posOffset>
              </wp:positionH>
              <wp:positionV relativeFrom="paragraph">
                <wp:posOffset>1270</wp:posOffset>
              </wp:positionV>
              <wp:extent cx="1625600" cy="3962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14:paraId="419E8D9D" w14:textId="77777777" w:rsidR="00E812AE" w:rsidRPr="00A804E3" w:rsidRDefault="00E812AE" w:rsidP="00DF2FE2">
                          <w:pPr>
                            <w:autoSpaceDE w:val="0"/>
                            <w:autoSpaceDN w:val="0"/>
                            <w:adjustRightInd w:val="0"/>
                            <w:jc w:val="center"/>
                            <w:rPr>
                              <w:rFonts w:ascii="Arial Narrow" w:hAnsi="Arial Narrow" w:cs="Arial"/>
                              <w:b/>
                              <w:bCs/>
                              <w:color w:val="FFFFFF" w:themeColor="background1"/>
                              <w:sz w:val="8"/>
                              <w:szCs w:val="26"/>
                            </w:rPr>
                          </w:pPr>
                        </w:p>
                        <w:p w14:paraId="7AAB9560" w14:textId="71D6700C" w:rsidR="00E812AE" w:rsidRPr="00690C34" w:rsidRDefault="00E934C5"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 xml:space="preserve">16 </w:t>
                          </w:r>
                          <w:r w:rsidR="00E812AE">
                            <w:rPr>
                              <w:rFonts w:ascii="Arial Narrow" w:hAnsi="Arial Narrow" w:cs="Arial"/>
                              <w:b/>
                              <w:bCs/>
                              <w:color w:val="FFFFFF" w:themeColor="background1"/>
                              <w:sz w:val="26"/>
                              <w:szCs w:val="26"/>
                            </w:rPr>
                            <w:t>dicembre</w:t>
                          </w:r>
                          <w:r w:rsidR="00E812AE" w:rsidRPr="00123E17">
                            <w:rPr>
                              <w:rFonts w:ascii="Arial Narrow" w:hAnsi="Arial Narrow" w:cs="Arial"/>
                              <w:b/>
                              <w:bCs/>
                              <w:color w:val="FFFFFF" w:themeColor="background1"/>
                              <w:sz w:val="26"/>
                              <w:szCs w:val="26"/>
                            </w:rPr>
                            <w:t xml:space="preserve"> 201</w:t>
                          </w:r>
                          <w:r w:rsidR="00E812AE">
                            <w:rPr>
                              <w:rFonts w:ascii="Arial Narrow" w:hAnsi="Arial Narrow" w:cs="Arial"/>
                              <w:b/>
                              <w:bCs/>
                              <w:color w:val="FFFFFF" w:themeColor="background1"/>
                              <w:sz w:val="26"/>
                              <w:szCs w:val="26"/>
                            </w:rPr>
                            <w:t>9</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5pt;margin-top:.1pt;width:12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" fillcolor="#1f497d [3215]" stroked="f">
              <v:textbox inset="1.5mm,,1.5mm">
                <w:txbxContent>
                  <w:p w14:paraId="419E8D9D" w14:textId="77777777" w:rsidR="00E812AE" w:rsidRPr="00A804E3" w:rsidRDefault="00E812AE" w:rsidP="00DF2FE2">
                    <w:pPr>
                      <w:autoSpaceDE w:val="0"/>
                      <w:autoSpaceDN w:val="0"/>
                      <w:adjustRightInd w:val="0"/>
                      <w:jc w:val="center"/>
                      <w:rPr>
                        <w:rFonts w:ascii="Arial Narrow" w:hAnsi="Arial Narrow" w:cs="Arial"/>
                        <w:b/>
                        <w:bCs/>
                        <w:color w:val="FFFFFF" w:themeColor="background1"/>
                        <w:sz w:val="8"/>
                        <w:szCs w:val="26"/>
                      </w:rPr>
                    </w:pPr>
                  </w:p>
                  <w:p w14:paraId="7AAB9560" w14:textId="71D6700C" w:rsidR="00E812AE" w:rsidRPr="00690C34" w:rsidRDefault="00E934C5"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 xml:space="preserve">16 </w:t>
                    </w:r>
                    <w:r w:rsidR="00E812AE">
                      <w:rPr>
                        <w:rFonts w:ascii="Arial Narrow" w:hAnsi="Arial Narrow" w:cs="Arial"/>
                        <w:b/>
                        <w:bCs/>
                        <w:color w:val="FFFFFF" w:themeColor="background1"/>
                        <w:sz w:val="26"/>
                        <w:szCs w:val="26"/>
                      </w:rPr>
                      <w:t>dicembre</w:t>
                    </w:r>
                    <w:r w:rsidR="00E812AE" w:rsidRPr="00123E17">
                      <w:rPr>
                        <w:rFonts w:ascii="Arial Narrow" w:hAnsi="Arial Narrow" w:cs="Arial"/>
                        <w:b/>
                        <w:bCs/>
                        <w:color w:val="FFFFFF" w:themeColor="background1"/>
                        <w:sz w:val="26"/>
                        <w:szCs w:val="26"/>
                      </w:rPr>
                      <w:t xml:space="preserve"> 201</w:t>
                    </w:r>
                    <w:r w:rsidR="00E812AE">
                      <w:rPr>
                        <w:rFonts w:ascii="Arial Narrow" w:hAnsi="Arial Narrow" w:cs="Arial"/>
                        <w:b/>
                        <w:bCs/>
                        <w:color w:val="FFFFFF" w:themeColor="background1"/>
                        <w:sz w:val="26"/>
                        <w:szCs w:val="26"/>
                      </w:rPr>
                      <w:t>9</w:t>
                    </w:r>
                  </w:p>
                </w:txbxContent>
              </v:textbox>
            </v:shape>
          </w:pict>
        </mc:Fallback>
      </mc:AlternateContent>
    </w:r>
    <w:r>
      <w:rPr>
        <w:noProof/>
      </w:rPr>
      <w:drawing>
        <wp:inline distT="0" distB="0" distL="0" distR="0" wp14:anchorId="31A68C5E" wp14:editId="5D63C0BF">
          <wp:extent cx="7560000" cy="1645200"/>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E812AE" w:rsidRPr="00DD6CCE" w14:paraId="4AEB2A4B" w14:textId="77777777" w:rsidTr="00C312B1">
      <w:trPr>
        <w:trHeight w:hRule="exact" w:val="567"/>
      </w:trPr>
      <w:tc>
        <w:tcPr>
          <w:tcW w:w="9323" w:type="dxa"/>
          <w:shd w:val="clear" w:color="auto" w:fill="1F497D" w:themeFill="text2"/>
          <w:vAlign w:val="center"/>
        </w:tcPr>
        <w:p w14:paraId="7B9F2687" w14:textId="77777777" w:rsidR="00E812AE" w:rsidRPr="005D6783" w:rsidRDefault="00E812AE" w:rsidP="00C312B1">
          <w:pPr>
            <w:pStyle w:val="Intestazione"/>
            <w:spacing w:before="120"/>
            <w:ind w:left="567"/>
            <w:jc w:val="left"/>
            <w:rPr>
              <w:rFonts w:ascii="Arial Narrow" w:hAnsi="Arial Narrow"/>
              <w:color w:val="FFFFFF" w:themeColor="background1"/>
              <w:sz w:val="24"/>
            </w:rPr>
          </w:pPr>
          <w:r>
            <w:rPr>
              <w:rFonts w:ascii="Arial Narrow" w:hAnsi="Arial Narrow"/>
              <w:color w:val="FFFFFF" w:themeColor="background1"/>
              <w:sz w:val="24"/>
            </w:rPr>
            <w:t>ISCRIZIONI E CANCELLAZIONI ANAGRAFICHE PER TRASFERIMENTO DI RESIDENZA</w:t>
          </w:r>
        </w:p>
      </w:tc>
      <w:tc>
        <w:tcPr>
          <w:tcW w:w="3016" w:type="dxa"/>
          <w:shd w:val="clear" w:color="auto" w:fill="1F497D" w:themeFill="text2"/>
          <w:vAlign w:val="center"/>
        </w:tcPr>
        <w:p w14:paraId="2395F52B" w14:textId="77777777" w:rsidR="00E812AE" w:rsidRPr="00DD6CCE" w:rsidRDefault="00E812AE"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64896" behindDoc="0" locked="0" layoutInCell="1" allowOverlap="1" wp14:anchorId="2F4DE121" wp14:editId="59C271E6">
                <wp:simplePos x="0" y="0"/>
                <wp:positionH relativeFrom="column">
                  <wp:posOffset>598805</wp:posOffset>
                </wp:positionH>
                <wp:positionV relativeFrom="paragraph">
                  <wp:posOffset>-1905</wp:posOffset>
                </wp:positionV>
                <wp:extent cx="695325" cy="198120"/>
                <wp:effectExtent l="0" t="0" r="9525" b="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14:paraId="3AC25783" w14:textId="77777777" w:rsidR="00E812AE" w:rsidRPr="007D0BF5" w:rsidRDefault="00E812AE"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31383"/>
    <w:multiLevelType w:val="hybridMultilevel"/>
    <w:tmpl w:val="4A4A6C0C"/>
    <w:lvl w:ilvl="0" w:tplc="AD2873D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3B538A7"/>
    <w:multiLevelType w:val="hybridMultilevel"/>
    <w:tmpl w:val="6BE010C2"/>
    <w:lvl w:ilvl="0" w:tplc="B596D914">
      <w:numFmt w:val="bullet"/>
      <w:lvlText w:val="-"/>
      <w:lvlJc w:val="left"/>
      <w:pPr>
        <w:ind w:left="819" w:hanging="360"/>
      </w:pPr>
      <w:rPr>
        <w:rFonts w:ascii="Georgia" w:eastAsia="Times New Roman" w:hAnsi="Georgia" w:cs="Arial" w:hint="default"/>
      </w:rPr>
    </w:lvl>
    <w:lvl w:ilvl="1" w:tplc="04100003" w:tentative="1">
      <w:start w:val="1"/>
      <w:numFmt w:val="bullet"/>
      <w:lvlText w:val="o"/>
      <w:lvlJc w:val="left"/>
      <w:pPr>
        <w:ind w:left="1539" w:hanging="360"/>
      </w:pPr>
      <w:rPr>
        <w:rFonts w:ascii="Courier New" w:hAnsi="Courier New" w:cs="Courier New" w:hint="default"/>
      </w:rPr>
    </w:lvl>
    <w:lvl w:ilvl="2" w:tplc="04100005" w:tentative="1">
      <w:start w:val="1"/>
      <w:numFmt w:val="bullet"/>
      <w:lvlText w:val=""/>
      <w:lvlJc w:val="left"/>
      <w:pPr>
        <w:ind w:left="2259" w:hanging="360"/>
      </w:pPr>
      <w:rPr>
        <w:rFonts w:ascii="Wingdings" w:hAnsi="Wingdings" w:hint="default"/>
      </w:rPr>
    </w:lvl>
    <w:lvl w:ilvl="3" w:tplc="04100001" w:tentative="1">
      <w:start w:val="1"/>
      <w:numFmt w:val="bullet"/>
      <w:lvlText w:val=""/>
      <w:lvlJc w:val="left"/>
      <w:pPr>
        <w:ind w:left="2979" w:hanging="360"/>
      </w:pPr>
      <w:rPr>
        <w:rFonts w:ascii="Symbol" w:hAnsi="Symbol" w:hint="default"/>
      </w:rPr>
    </w:lvl>
    <w:lvl w:ilvl="4" w:tplc="04100003" w:tentative="1">
      <w:start w:val="1"/>
      <w:numFmt w:val="bullet"/>
      <w:lvlText w:val="o"/>
      <w:lvlJc w:val="left"/>
      <w:pPr>
        <w:ind w:left="3699" w:hanging="360"/>
      </w:pPr>
      <w:rPr>
        <w:rFonts w:ascii="Courier New" w:hAnsi="Courier New" w:cs="Courier New" w:hint="default"/>
      </w:rPr>
    </w:lvl>
    <w:lvl w:ilvl="5" w:tplc="04100005" w:tentative="1">
      <w:start w:val="1"/>
      <w:numFmt w:val="bullet"/>
      <w:lvlText w:val=""/>
      <w:lvlJc w:val="left"/>
      <w:pPr>
        <w:ind w:left="4419" w:hanging="360"/>
      </w:pPr>
      <w:rPr>
        <w:rFonts w:ascii="Wingdings" w:hAnsi="Wingdings" w:hint="default"/>
      </w:rPr>
    </w:lvl>
    <w:lvl w:ilvl="6" w:tplc="04100001" w:tentative="1">
      <w:start w:val="1"/>
      <w:numFmt w:val="bullet"/>
      <w:lvlText w:val=""/>
      <w:lvlJc w:val="left"/>
      <w:pPr>
        <w:ind w:left="5139" w:hanging="360"/>
      </w:pPr>
      <w:rPr>
        <w:rFonts w:ascii="Symbol" w:hAnsi="Symbol" w:hint="default"/>
      </w:rPr>
    </w:lvl>
    <w:lvl w:ilvl="7" w:tplc="04100003" w:tentative="1">
      <w:start w:val="1"/>
      <w:numFmt w:val="bullet"/>
      <w:lvlText w:val="o"/>
      <w:lvlJc w:val="left"/>
      <w:pPr>
        <w:ind w:left="5859" w:hanging="360"/>
      </w:pPr>
      <w:rPr>
        <w:rFonts w:ascii="Courier New" w:hAnsi="Courier New" w:cs="Courier New" w:hint="default"/>
      </w:rPr>
    </w:lvl>
    <w:lvl w:ilvl="8" w:tplc="04100005" w:tentative="1">
      <w:start w:val="1"/>
      <w:numFmt w:val="bullet"/>
      <w:lvlText w:val=""/>
      <w:lvlJc w:val="left"/>
      <w:pPr>
        <w:ind w:left="6579" w:hanging="360"/>
      </w:pPr>
      <w:rPr>
        <w:rFonts w:ascii="Wingdings" w:hAnsi="Wingdings" w:hint="default"/>
      </w:rPr>
    </w:lvl>
  </w:abstractNum>
  <w:abstractNum w:abstractNumId="2">
    <w:nsid w:val="4001217C"/>
    <w:multiLevelType w:val="hybridMultilevel"/>
    <w:tmpl w:val="4B3EFEC4"/>
    <w:lvl w:ilvl="0" w:tplc="05D2A2E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FD55255"/>
    <w:multiLevelType w:val="hybridMultilevel"/>
    <w:tmpl w:val="E9F29EC4"/>
    <w:lvl w:ilvl="0" w:tplc="6614960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DFC5A30"/>
    <w:multiLevelType w:val="hybridMultilevel"/>
    <w:tmpl w:val="58E49CD6"/>
    <w:lvl w:ilvl="0" w:tplc="C644C0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6AF03AAA"/>
    <w:multiLevelType w:val="hybridMultilevel"/>
    <w:tmpl w:val="9F04EC02"/>
    <w:lvl w:ilvl="0" w:tplc="AB080760">
      <w:start w:val="1"/>
      <w:numFmt w:val="bullet"/>
      <w:lvlText w:val=""/>
      <w:lvlJc w:val="left"/>
      <w:pPr>
        <w:tabs>
          <w:tab w:val="num" w:pos="340"/>
        </w:tabs>
        <w:ind w:left="0" w:firstLine="0"/>
      </w:pPr>
      <w:rPr>
        <w:rFonts w:ascii="Wingdings" w:hAnsi="Wingdings" w:hint="default"/>
        <w:b w:val="0"/>
        <w:i w:val="0"/>
        <w:color w:val="003366"/>
        <w:spacing w:val="0"/>
        <w:sz w:val="24"/>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6" w:nlCheck="1" w:checkStyle="0"/>
  <w:activeWritingStyle w:appName="MSWord" w:lang="it-IT" w:vendorID="64" w:dllVersion="0" w:nlCheck="1" w:checkStyle="0"/>
  <w:activeWritingStyle w:appName="MSWord" w:lang="en-US"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4FF"/>
    <w:rsid w:val="0000053D"/>
    <w:rsid w:val="00000DE6"/>
    <w:rsid w:val="00001763"/>
    <w:rsid w:val="000020C7"/>
    <w:rsid w:val="00002177"/>
    <w:rsid w:val="00002AED"/>
    <w:rsid w:val="0000396F"/>
    <w:rsid w:val="00003E56"/>
    <w:rsid w:val="000042EB"/>
    <w:rsid w:val="00006D10"/>
    <w:rsid w:val="00007066"/>
    <w:rsid w:val="000071CE"/>
    <w:rsid w:val="0000734C"/>
    <w:rsid w:val="000075FC"/>
    <w:rsid w:val="0000784B"/>
    <w:rsid w:val="00007CBD"/>
    <w:rsid w:val="00007F49"/>
    <w:rsid w:val="00010170"/>
    <w:rsid w:val="00010BD3"/>
    <w:rsid w:val="00011037"/>
    <w:rsid w:val="000114C9"/>
    <w:rsid w:val="00011DE9"/>
    <w:rsid w:val="00012685"/>
    <w:rsid w:val="00014765"/>
    <w:rsid w:val="00014F90"/>
    <w:rsid w:val="00015130"/>
    <w:rsid w:val="0001544F"/>
    <w:rsid w:val="00016F4D"/>
    <w:rsid w:val="0001738B"/>
    <w:rsid w:val="000176EC"/>
    <w:rsid w:val="000208E2"/>
    <w:rsid w:val="00022348"/>
    <w:rsid w:val="0002257A"/>
    <w:rsid w:val="00023B4F"/>
    <w:rsid w:val="00023B7E"/>
    <w:rsid w:val="0002428F"/>
    <w:rsid w:val="0002505D"/>
    <w:rsid w:val="00025711"/>
    <w:rsid w:val="00026B2F"/>
    <w:rsid w:val="00030D17"/>
    <w:rsid w:val="00031115"/>
    <w:rsid w:val="00031F8A"/>
    <w:rsid w:val="0003264F"/>
    <w:rsid w:val="0003298F"/>
    <w:rsid w:val="00033165"/>
    <w:rsid w:val="00033F2B"/>
    <w:rsid w:val="000343A2"/>
    <w:rsid w:val="00035516"/>
    <w:rsid w:val="00036154"/>
    <w:rsid w:val="000401BA"/>
    <w:rsid w:val="0004131D"/>
    <w:rsid w:val="00041838"/>
    <w:rsid w:val="00041DC5"/>
    <w:rsid w:val="000425AA"/>
    <w:rsid w:val="000426E7"/>
    <w:rsid w:val="00043696"/>
    <w:rsid w:val="000444BF"/>
    <w:rsid w:val="00044BA7"/>
    <w:rsid w:val="0004526F"/>
    <w:rsid w:val="00045472"/>
    <w:rsid w:val="000463B5"/>
    <w:rsid w:val="000467F2"/>
    <w:rsid w:val="00047479"/>
    <w:rsid w:val="0004769F"/>
    <w:rsid w:val="000476DC"/>
    <w:rsid w:val="00047749"/>
    <w:rsid w:val="00047A1F"/>
    <w:rsid w:val="000507CF"/>
    <w:rsid w:val="0005356B"/>
    <w:rsid w:val="000541C4"/>
    <w:rsid w:val="000541EC"/>
    <w:rsid w:val="0005451A"/>
    <w:rsid w:val="00055B88"/>
    <w:rsid w:val="00057287"/>
    <w:rsid w:val="00057EFB"/>
    <w:rsid w:val="000613D2"/>
    <w:rsid w:val="00062A73"/>
    <w:rsid w:val="00063871"/>
    <w:rsid w:val="00063FE1"/>
    <w:rsid w:val="00064102"/>
    <w:rsid w:val="000646C1"/>
    <w:rsid w:val="000665DC"/>
    <w:rsid w:val="00066F5C"/>
    <w:rsid w:val="000679B2"/>
    <w:rsid w:val="0007093C"/>
    <w:rsid w:val="00070FF7"/>
    <w:rsid w:val="000717CD"/>
    <w:rsid w:val="0007183B"/>
    <w:rsid w:val="000718B8"/>
    <w:rsid w:val="00071F99"/>
    <w:rsid w:val="000722A1"/>
    <w:rsid w:val="00072EE8"/>
    <w:rsid w:val="000730D0"/>
    <w:rsid w:val="0007346F"/>
    <w:rsid w:val="0007364E"/>
    <w:rsid w:val="000737C5"/>
    <w:rsid w:val="00074F21"/>
    <w:rsid w:val="00075049"/>
    <w:rsid w:val="00076B04"/>
    <w:rsid w:val="00077332"/>
    <w:rsid w:val="00080193"/>
    <w:rsid w:val="000808AF"/>
    <w:rsid w:val="00081681"/>
    <w:rsid w:val="0008211B"/>
    <w:rsid w:val="000824CF"/>
    <w:rsid w:val="00082F25"/>
    <w:rsid w:val="00082F91"/>
    <w:rsid w:val="00083EA8"/>
    <w:rsid w:val="0008427D"/>
    <w:rsid w:val="000843B1"/>
    <w:rsid w:val="0008459E"/>
    <w:rsid w:val="000854D9"/>
    <w:rsid w:val="0008573D"/>
    <w:rsid w:val="00085D39"/>
    <w:rsid w:val="000860AB"/>
    <w:rsid w:val="00086456"/>
    <w:rsid w:val="000868DA"/>
    <w:rsid w:val="0008701E"/>
    <w:rsid w:val="00087F2B"/>
    <w:rsid w:val="00091EAE"/>
    <w:rsid w:val="000924BC"/>
    <w:rsid w:val="000934B8"/>
    <w:rsid w:val="000940FB"/>
    <w:rsid w:val="0009519B"/>
    <w:rsid w:val="00095707"/>
    <w:rsid w:val="00096098"/>
    <w:rsid w:val="000A0304"/>
    <w:rsid w:val="000A1A44"/>
    <w:rsid w:val="000A2B36"/>
    <w:rsid w:val="000A2CE3"/>
    <w:rsid w:val="000A35DD"/>
    <w:rsid w:val="000A3DA6"/>
    <w:rsid w:val="000A4F3E"/>
    <w:rsid w:val="000A5962"/>
    <w:rsid w:val="000A6EC8"/>
    <w:rsid w:val="000B0188"/>
    <w:rsid w:val="000B0E1B"/>
    <w:rsid w:val="000B2771"/>
    <w:rsid w:val="000B2DE4"/>
    <w:rsid w:val="000B33BB"/>
    <w:rsid w:val="000B4257"/>
    <w:rsid w:val="000B4826"/>
    <w:rsid w:val="000B54EA"/>
    <w:rsid w:val="000B5CF0"/>
    <w:rsid w:val="000B5F30"/>
    <w:rsid w:val="000B5F37"/>
    <w:rsid w:val="000B6060"/>
    <w:rsid w:val="000B68CB"/>
    <w:rsid w:val="000B6E6E"/>
    <w:rsid w:val="000B78AF"/>
    <w:rsid w:val="000C0E96"/>
    <w:rsid w:val="000C23C8"/>
    <w:rsid w:val="000C24A9"/>
    <w:rsid w:val="000C2AF7"/>
    <w:rsid w:val="000C2FC4"/>
    <w:rsid w:val="000C3ACA"/>
    <w:rsid w:val="000C3D3C"/>
    <w:rsid w:val="000C4223"/>
    <w:rsid w:val="000C43AD"/>
    <w:rsid w:val="000C5D95"/>
    <w:rsid w:val="000C5DC0"/>
    <w:rsid w:val="000C5F6E"/>
    <w:rsid w:val="000C683D"/>
    <w:rsid w:val="000C6D3F"/>
    <w:rsid w:val="000C7AF6"/>
    <w:rsid w:val="000C7CB9"/>
    <w:rsid w:val="000C7E7F"/>
    <w:rsid w:val="000D01FA"/>
    <w:rsid w:val="000D058E"/>
    <w:rsid w:val="000D1C88"/>
    <w:rsid w:val="000D1FF1"/>
    <w:rsid w:val="000D20C3"/>
    <w:rsid w:val="000D31ED"/>
    <w:rsid w:val="000D3343"/>
    <w:rsid w:val="000D35FE"/>
    <w:rsid w:val="000D3BE3"/>
    <w:rsid w:val="000D4700"/>
    <w:rsid w:val="000D49B6"/>
    <w:rsid w:val="000D5E76"/>
    <w:rsid w:val="000D61A6"/>
    <w:rsid w:val="000D758D"/>
    <w:rsid w:val="000E01E0"/>
    <w:rsid w:val="000E0F08"/>
    <w:rsid w:val="000E17CE"/>
    <w:rsid w:val="000E2017"/>
    <w:rsid w:val="000E2097"/>
    <w:rsid w:val="000E28C7"/>
    <w:rsid w:val="000E2A6D"/>
    <w:rsid w:val="000E2C69"/>
    <w:rsid w:val="000E3177"/>
    <w:rsid w:val="000E3182"/>
    <w:rsid w:val="000E36FF"/>
    <w:rsid w:val="000E47B2"/>
    <w:rsid w:val="000E4AB8"/>
    <w:rsid w:val="000E4C5D"/>
    <w:rsid w:val="000E5511"/>
    <w:rsid w:val="000F080C"/>
    <w:rsid w:val="000F0834"/>
    <w:rsid w:val="000F0DE8"/>
    <w:rsid w:val="000F2103"/>
    <w:rsid w:val="000F255B"/>
    <w:rsid w:val="000F28CD"/>
    <w:rsid w:val="000F3EE9"/>
    <w:rsid w:val="000F440B"/>
    <w:rsid w:val="000F4EE1"/>
    <w:rsid w:val="000F54E2"/>
    <w:rsid w:val="000F56AC"/>
    <w:rsid w:val="000F56B4"/>
    <w:rsid w:val="000F5E14"/>
    <w:rsid w:val="000F5F7E"/>
    <w:rsid w:val="000F61BC"/>
    <w:rsid w:val="000F6BD7"/>
    <w:rsid w:val="000F6D28"/>
    <w:rsid w:val="000F7212"/>
    <w:rsid w:val="000F73C6"/>
    <w:rsid w:val="000F7425"/>
    <w:rsid w:val="000F7E7C"/>
    <w:rsid w:val="00101A70"/>
    <w:rsid w:val="00101EBD"/>
    <w:rsid w:val="00102064"/>
    <w:rsid w:val="00102103"/>
    <w:rsid w:val="00102185"/>
    <w:rsid w:val="00102284"/>
    <w:rsid w:val="001035E3"/>
    <w:rsid w:val="001038B2"/>
    <w:rsid w:val="001042B2"/>
    <w:rsid w:val="00104474"/>
    <w:rsid w:val="00104E17"/>
    <w:rsid w:val="001051FB"/>
    <w:rsid w:val="00105689"/>
    <w:rsid w:val="00105931"/>
    <w:rsid w:val="001059FA"/>
    <w:rsid w:val="00111A00"/>
    <w:rsid w:val="00111A23"/>
    <w:rsid w:val="00111DB1"/>
    <w:rsid w:val="00112B06"/>
    <w:rsid w:val="00112D4E"/>
    <w:rsid w:val="00112DB1"/>
    <w:rsid w:val="00113587"/>
    <w:rsid w:val="00117291"/>
    <w:rsid w:val="00117576"/>
    <w:rsid w:val="001176B9"/>
    <w:rsid w:val="001178D5"/>
    <w:rsid w:val="00117C9A"/>
    <w:rsid w:val="00117FE2"/>
    <w:rsid w:val="001216F3"/>
    <w:rsid w:val="0012253F"/>
    <w:rsid w:val="0012282C"/>
    <w:rsid w:val="00123033"/>
    <w:rsid w:val="001230AE"/>
    <w:rsid w:val="0012394C"/>
    <w:rsid w:val="00123CAE"/>
    <w:rsid w:val="00123E17"/>
    <w:rsid w:val="00124010"/>
    <w:rsid w:val="00124DCB"/>
    <w:rsid w:val="0012509A"/>
    <w:rsid w:val="00125760"/>
    <w:rsid w:val="001266B6"/>
    <w:rsid w:val="00127809"/>
    <w:rsid w:val="00127A7C"/>
    <w:rsid w:val="00127BDB"/>
    <w:rsid w:val="001304A9"/>
    <w:rsid w:val="00130A8B"/>
    <w:rsid w:val="00131166"/>
    <w:rsid w:val="00131B50"/>
    <w:rsid w:val="00132E94"/>
    <w:rsid w:val="00133310"/>
    <w:rsid w:val="00133ACC"/>
    <w:rsid w:val="001349F8"/>
    <w:rsid w:val="001350C3"/>
    <w:rsid w:val="00135378"/>
    <w:rsid w:val="00135B50"/>
    <w:rsid w:val="00136280"/>
    <w:rsid w:val="001365DB"/>
    <w:rsid w:val="001365F6"/>
    <w:rsid w:val="00136A09"/>
    <w:rsid w:val="00137C1A"/>
    <w:rsid w:val="00140C52"/>
    <w:rsid w:val="00140DFF"/>
    <w:rsid w:val="0014327D"/>
    <w:rsid w:val="0014340B"/>
    <w:rsid w:val="00143829"/>
    <w:rsid w:val="001471E6"/>
    <w:rsid w:val="001503DC"/>
    <w:rsid w:val="001512E9"/>
    <w:rsid w:val="001517D8"/>
    <w:rsid w:val="00151F1A"/>
    <w:rsid w:val="001523E8"/>
    <w:rsid w:val="00152C53"/>
    <w:rsid w:val="00152EFE"/>
    <w:rsid w:val="00153311"/>
    <w:rsid w:val="001537A3"/>
    <w:rsid w:val="00154931"/>
    <w:rsid w:val="00156870"/>
    <w:rsid w:val="001569C5"/>
    <w:rsid w:val="00157219"/>
    <w:rsid w:val="00157ED8"/>
    <w:rsid w:val="00157F5E"/>
    <w:rsid w:val="001614C5"/>
    <w:rsid w:val="00161868"/>
    <w:rsid w:val="00161A02"/>
    <w:rsid w:val="00163045"/>
    <w:rsid w:val="0016359C"/>
    <w:rsid w:val="00163CE2"/>
    <w:rsid w:val="00164770"/>
    <w:rsid w:val="00164DD7"/>
    <w:rsid w:val="0016592A"/>
    <w:rsid w:val="001661A6"/>
    <w:rsid w:val="001661BE"/>
    <w:rsid w:val="001663CB"/>
    <w:rsid w:val="00167170"/>
    <w:rsid w:val="00170AC8"/>
    <w:rsid w:val="00171303"/>
    <w:rsid w:val="00171977"/>
    <w:rsid w:val="00171A8E"/>
    <w:rsid w:val="00173008"/>
    <w:rsid w:val="00174FE1"/>
    <w:rsid w:val="001754E7"/>
    <w:rsid w:val="001761CF"/>
    <w:rsid w:val="00176D20"/>
    <w:rsid w:val="00177B1E"/>
    <w:rsid w:val="0018019C"/>
    <w:rsid w:val="00180E98"/>
    <w:rsid w:val="00181074"/>
    <w:rsid w:val="00181263"/>
    <w:rsid w:val="001815CC"/>
    <w:rsid w:val="00181C60"/>
    <w:rsid w:val="001826FE"/>
    <w:rsid w:val="00182894"/>
    <w:rsid w:val="001830A6"/>
    <w:rsid w:val="00185665"/>
    <w:rsid w:val="00185A19"/>
    <w:rsid w:val="0018698A"/>
    <w:rsid w:val="00187341"/>
    <w:rsid w:val="00190006"/>
    <w:rsid w:val="00190158"/>
    <w:rsid w:val="00191477"/>
    <w:rsid w:val="001917F1"/>
    <w:rsid w:val="00191EA1"/>
    <w:rsid w:val="00193A8D"/>
    <w:rsid w:val="00194943"/>
    <w:rsid w:val="00194F41"/>
    <w:rsid w:val="00195299"/>
    <w:rsid w:val="00195481"/>
    <w:rsid w:val="001954CD"/>
    <w:rsid w:val="001958B2"/>
    <w:rsid w:val="0019616E"/>
    <w:rsid w:val="001968E3"/>
    <w:rsid w:val="0019745C"/>
    <w:rsid w:val="0019759E"/>
    <w:rsid w:val="00197D76"/>
    <w:rsid w:val="001A0217"/>
    <w:rsid w:val="001A10C1"/>
    <w:rsid w:val="001A1346"/>
    <w:rsid w:val="001A20C2"/>
    <w:rsid w:val="001A24AD"/>
    <w:rsid w:val="001A29C8"/>
    <w:rsid w:val="001A4C6D"/>
    <w:rsid w:val="001A4D93"/>
    <w:rsid w:val="001A52EE"/>
    <w:rsid w:val="001A611B"/>
    <w:rsid w:val="001A62B0"/>
    <w:rsid w:val="001A62B5"/>
    <w:rsid w:val="001A7CAF"/>
    <w:rsid w:val="001A7F1A"/>
    <w:rsid w:val="001B10C3"/>
    <w:rsid w:val="001B1DB1"/>
    <w:rsid w:val="001B33C8"/>
    <w:rsid w:val="001B41C2"/>
    <w:rsid w:val="001B4D79"/>
    <w:rsid w:val="001B5391"/>
    <w:rsid w:val="001B64E1"/>
    <w:rsid w:val="001B743D"/>
    <w:rsid w:val="001B745D"/>
    <w:rsid w:val="001C0092"/>
    <w:rsid w:val="001C03DA"/>
    <w:rsid w:val="001C0BF3"/>
    <w:rsid w:val="001C0F22"/>
    <w:rsid w:val="001C29D4"/>
    <w:rsid w:val="001C333E"/>
    <w:rsid w:val="001C3445"/>
    <w:rsid w:val="001C3851"/>
    <w:rsid w:val="001C3E12"/>
    <w:rsid w:val="001C6222"/>
    <w:rsid w:val="001C635F"/>
    <w:rsid w:val="001C6D75"/>
    <w:rsid w:val="001C77B0"/>
    <w:rsid w:val="001D0137"/>
    <w:rsid w:val="001D0EB7"/>
    <w:rsid w:val="001D2AAA"/>
    <w:rsid w:val="001D32D2"/>
    <w:rsid w:val="001D3DA7"/>
    <w:rsid w:val="001D3DDF"/>
    <w:rsid w:val="001D46FC"/>
    <w:rsid w:val="001D475E"/>
    <w:rsid w:val="001D5186"/>
    <w:rsid w:val="001D53F1"/>
    <w:rsid w:val="001D5578"/>
    <w:rsid w:val="001D6301"/>
    <w:rsid w:val="001D64EE"/>
    <w:rsid w:val="001D6BC4"/>
    <w:rsid w:val="001D6FBA"/>
    <w:rsid w:val="001D7102"/>
    <w:rsid w:val="001D75A9"/>
    <w:rsid w:val="001D7A31"/>
    <w:rsid w:val="001D7A7B"/>
    <w:rsid w:val="001D7ED4"/>
    <w:rsid w:val="001E1028"/>
    <w:rsid w:val="001E1BA2"/>
    <w:rsid w:val="001E3573"/>
    <w:rsid w:val="001E42F3"/>
    <w:rsid w:val="001E5DE3"/>
    <w:rsid w:val="001E5F21"/>
    <w:rsid w:val="001E6D2C"/>
    <w:rsid w:val="001E758E"/>
    <w:rsid w:val="001E7641"/>
    <w:rsid w:val="001E7678"/>
    <w:rsid w:val="001E7DAC"/>
    <w:rsid w:val="001F1697"/>
    <w:rsid w:val="001F24DC"/>
    <w:rsid w:val="001F2DCA"/>
    <w:rsid w:val="001F3589"/>
    <w:rsid w:val="001F486C"/>
    <w:rsid w:val="001F4CD6"/>
    <w:rsid w:val="001F58C7"/>
    <w:rsid w:val="001F5D7B"/>
    <w:rsid w:val="001F609C"/>
    <w:rsid w:val="001F61BA"/>
    <w:rsid w:val="001F6677"/>
    <w:rsid w:val="002000AC"/>
    <w:rsid w:val="002005F1"/>
    <w:rsid w:val="00200669"/>
    <w:rsid w:val="0020087D"/>
    <w:rsid w:val="00200AA9"/>
    <w:rsid w:val="00200F17"/>
    <w:rsid w:val="00201C4C"/>
    <w:rsid w:val="00202C51"/>
    <w:rsid w:val="00202D5E"/>
    <w:rsid w:val="00202E62"/>
    <w:rsid w:val="002031E5"/>
    <w:rsid w:val="0020375E"/>
    <w:rsid w:val="00203F9E"/>
    <w:rsid w:val="0020556C"/>
    <w:rsid w:val="002056F7"/>
    <w:rsid w:val="00205ADF"/>
    <w:rsid w:val="00205D0A"/>
    <w:rsid w:val="00206DEE"/>
    <w:rsid w:val="002072B2"/>
    <w:rsid w:val="002103C3"/>
    <w:rsid w:val="00210720"/>
    <w:rsid w:val="00210C42"/>
    <w:rsid w:val="00210DA8"/>
    <w:rsid w:val="00210DE0"/>
    <w:rsid w:val="0021197E"/>
    <w:rsid w:val="00212529"/>
    <w:rsid w:val="0021285C"/>
    <w:rsid w:val="00212F11"/>
    <w:rsid w:val="002137BA"/>
    <w:rsid w:val="00214722"/>
    <w:rsid w:val="00214B49"/>
    <w:rsid w:val="00215FD0"/>
    <w:rsid w:val="00220D5E"/>
    <w:rsid w:val="00220F99"/>
    <w:rsid w:val="00221079"/>
    <w:rsid w:val="002222D4"/>
    <w:rsid w:val="00222966"/>
    <w:rsid w:val="002236B4"/>
    <w:rsid w:val="002245DD"/>
    <w:rsid w:val="00224936"/>
    <w:rsid w:val="00225916"/>
    <w:rsid w:val="00225A82"/>
    <w:rsid w:val="00225B32"/>
    <w:rsid w:val="00226116"/>
    <w:rsid w:val="002261D9"/>
    <w:rsid w:val="00226676"/>
    <w:rsid w:val="002266B4"/>
    <w:rsid w:val="002268E7"/>
    <w:rsid w:val="00226C04"/>
    <w:rsid w:val="00230239"/>
    <w:rsid w:val="0023067E"/>
    <w:rsid w:val="00230982"/>
    <w:rsid w:val="00230AF5"/>
    <w:rsid w:val="00231BC5"/>
    <w:rsid w:val="002323B9"/>
    <w:rsid w:val="002330DF"/>
    <w:rsid w:val="00233163"/>
    <w:rsid w:val="00233276"/>
    <w:rsid w:val="002337A9"/>
    <w:rsid w:val="00233D1C"/>
    <w:rsid w:val="00236BDB"/>
    <w:rsid w:val="002370CF"/>
    <w:rsid w:val="00237297"/>
    <w:rsid w:val="002372A4"/>
    <w:rsid w:val="002402C9"/>
    <w:rsid w:val="00240860"/>
    <w:rsid w:val="00240909"/>
    <w:rsid w:val="002425DD"/>
    <w:rsid w:val="002427A6"/>
    <w:rsid w:val="00243F15"/>
    <w:rsid w:val="00244329"/>
    <w:rsid w:val="0024501A"/>
    <w:rsid w:val="00246065"/>
    <w:rsid w:val="00246619"/>
    <w:rsid w:val="0024697E"/>
    <w:rsid w:val="00246D7E"/>
    <w:rsid w:val="0024708F"/>
    <w:rsid w:val="00250448"/>
    <w:rsid w:val="00250570"/>
    <w:rsid w:val="00250A8D"/>
    <w:rsid w:val="002518F5"/>
    <w:rsid w:val="00251CA6"/>
    <w:rsid w:val="002521EC"/>
    <w:rsid w:val="0025287B"/>
    <w:rsid w:val="002533A7"/>
    <w:rsid w:val="002542DD"/>
    <w:rsid w:val="00254523"/>
    <w:rsid w:val="002546A6"/>
    <w:rsid w:val="00254851"/>
    <w:rsid w:val="002548C3"/>
    <w:rsid w:val="00255A74"/>
    <w:rsid w:val="00255D3D"/>
    <w:rsid w:val="00255DFF"/>
    <w:rsid w:val="002568ED"/>
    <w:rsid w:val="002573E5"/>
    <w:rsid w:val="002604A1"/>
    <w:rsid w:val="00260940"/>
    <w:rsid w:val="002617CA"/>
    <w:rsid w:val="002617E8"/>
    <w:rsid w:val="00261BED"/>
    <w:rsid w:val="00261E46"/>
    <w:rsid w:val="00263004"/>
    <w:rsid w:val="0026334D"/>
    <w:rsid w:val="00263991"/>
    <w:rsid w:val="002649E0"/>
    <w:rsid w:val="00264BF7"/>
    <w:rsid w:val="00264DC5"/>
    <w:rsid w:val="00264F5E"/>
    <w:rsid w:val="002655FE"/>
    <w:rsid w:val="002665A8"/>
    <w:rsid w:val="00266C71"/>
    <w:rsid w:val="002674BB"/>
    <w:rsid w:val="002700BA"/>
    <w:rsid w:val="00270E8B"/>
    <w:rsid w:val="00271B23"/>
    <w:rsid w:val="0027204B"/>
    <w:rsid w:val="002722DA"/>
    <w:rsid w:val="00272675"/>
    <w:rsid w:val="00273092"/>
    <w:rsid w:val="0027327E"/>
    <w:rsid w:val="002734A4"/>
    <w:rsid w:val="00273608"/>
    <w:rsid w:val="00273A74"/>
    <w:rsid w:val="00274C09"/>
    <w:rsid w:val="002756D5"/>
    <w:rsid w:val="00275E9E"/>
    <w:rsid w:val="00275F5F"/>
    <w:rsid w:val="0027632B"/>
    <w:rsid w:val="00277638"/>
    <w:rsid w:val="00277EAA"/>
    <w:rsid w:val="0028087D"/>
    <w:rsid w:val="00280C4D"/>
    <w:rsid w:val="002813BD"/>
    <w:rsid w:val="002822D3"/>
    <w:rsid w:val="0028289B"/>
    <w:rsid w:val="00282971"/>
    <w:rsid w:val="00282D16"/>
    <w:rsid w:val="00282DD6"/>
    <w:rsid w:val="00283133"/>
    <w:rsid w:val="002848CB"/>
    <w:rsid w:val="00285170"/>
    <w:rsid w:val="0028627A"/>
    <w:rsid w:val="002864E8"/>
    <w:rsid w:val="00286634"/>
    <w:rsid w:val="00287928"/>
    <w:rsid w:val="00291A83"/>
    <w:rsid w:val="00291BC0"/>
    <w:rsid w:val="002940AA"/>
    <w:rsid w:val="002940B7"/>
    <w:rsid w:val="00294DC2"/>
    <w:rsid w:val="00295687"/>
    <w:rsid w:val="002956C9"/>
    <w:rsid w:val="00295F01"/>
    <w:rsid w:val="0029651A"/>
    <w:rsid w:val="002A07C4"/>
    <w:rsid w:val="002A0D85"/>
    <w:rsid w:val="002A18E8"/>
    <w:rsid w:val="002A1DF5"/>
    <w:rsid w:val="002A1EED"/>
    <w:rsid w:val="002A2D78"/>
    <w:rsid w:val="002A2EA8"/>
    <w:rsid w:val="002A36A1"/>
    <w:rsid w:val="002A37AB"/>
    <w:rsid w:val="002A4BA6"/>
    <w:rsid w:val="002A4DEC"/>
    <w:rsid w:val="002A5097"/>
    <w:rsid w:val="002A5447"/>
    <w:rsid w:val="002A5E03"/>
    <w:rsid w:val="002A5F54"/>
    <w:rsid w:val="002A5F61"/>
    <w:rsid w:val="002A6126"/>
    <w:rsid w:val="002A6BD1"/>
    <w:rsid w:val="002A6CE6"/>
    <w:rsid w:val="002B162D"/>
    <w:rsid w:val="002B2DF5"/>
    <w:rsid w:val="002B4A54"/>
    <w:rsid w:val="002B4D0D"/>
    <w:rsid w:val="002B770D"/>
    <w:rsid w:val="002C05EE"/>
    <w:rsid w:val="002C159C"/>
    <w:rsid w:val="002C1AD7"/>
    <w:rsid w:val="002C1CF2"/>
    <w:rsid w:val="002C24B2"/>
    <w:rsid w:val="002C351A"/>
    <w:rsid w:val="002C3E8B"/>
    <w:rsid w:val="002C4572"/>
    <w:rsid w:val="002C6AAB"/>
    <w:rsid w:val="002C6EE8"/>
    <w:rsid w:val="002C6F23"/>
    <w:rsid w:val="002C79A8"/>
    <w:rsid w:val="002C7B51"/>
    <w:rsid w:val="002C7EB8"/>
    <w:rsid w:val="002D0632"/>
    <w:rsid w:val="002D1385"/>
    <w:rsid w:val="002D18E7"/>
    <w:rsid w:val="002D1983"/>
    <w:rsid w:val="002D2583"/>
    <w:rsid w:val="002D2882"/>
    <w:rsid w:val="002D2A78"/>
    <w:rsid w:val="002D3C11"/>
    <w:rsid w:val="002D5AFB"/>
    <w:rsid w:val="002D5E31"/>
    <w:rsid w:val="002D5ECA"/>
    <w:rsid w:val="002D6C8C"/>
    <w:rsid w:val="002D72B5"/>
    <w:rsid w:val="002D7BAA"/>
    <w:rsid w:val="002D7EAD"/>
    <w:rsid w:val="002E0444"/>
    <w:rsid w:val="002E11AD"/>
    <w:rsid w:val="002E2D2D"/>
    <w:rsid w:val="002E33E4"/>
    <w:rsid w:val="002E3784"/>
    <w:rsid w:val="002E3993"/>
    <w:rsid w:val="002E3E15"/>
    <w:rsid w:val="002E47FC"/>
    <w:rsid w:val="002E5123"/>
    <w:rsid w:val="002E5718"/>
    <w:rsid w:val="002E5DEE"/>
    <w:rsid w:val="002E7449"/>
    <w:rsid w:val="002E7582"/>
    <w:rsid w:val="002F00AA"/>
    <w:rsid w:val="002F0454"/>
    <w:rsid w:val="002F10BE"/>
    <w:rsid w:val="002F1AF9"/>
    <w:rsid w:val="002F21DF"/>
    <w:rsid w:val="002F43FC"/>
    <w:rsid w:val="002F5992"/>
    <w:rsid w:val="002F5BF1"/>
    <w:rsid w:val="002F65BF"/>
    <w:rsid w:val="002F78F5"/>
    <w:rsid w:val="00300653"/>
    <w:rsid w:val="00302CB8"/>
    <w:rsid w:val="003032B0"/>
    <w:rsid w:val="00304C63"/>
    <w:rsid w:val="00305A32"/>
    <w:rsid w:val="00306063"/>
    <w:rsid w:val="0030749A"/>
    <w:rsid w:val="0030756B"/>
    <w:rsid w:val="003075C9"/>
    <w:rsid w:val="003105F9"/>
    <w:rsid w:val="0031188E"/>
    <w:rsid w:val="00311F7E"/>
    <w:rsid w:val="003122DE"/>
    <w:rsid w:val="003138E9"/>
    <w:rsid w:val="003152CD"/>
    <w:rsid w:val="003158F5"/>
    <w:rsid w:val="00315A68"/>
    <w:rsid w:val="00315F3F"/>
    <w:rsid w:val="0031685A"/>
    <w:rsid w:val="003172DF"/>
    <w:rsid w:val="00317AFA"/>
    <w:rsid w:val="00317B3E"/>
    <w:rsid w:val="003215E2"/>
    <w:rsid w:val="0032369B"/>
    <w:rsid w:val="00323E06"/>
    <w:rsid w:val="00324141"/>
    <w:rsid w:val="003243EA"/>
    <w:rsid w:val="003247E0"/>
    <w:rsid w:val="00326836"/>
    <w:rsid w:val="00327940"/>
    <w:rsid w:val="00327DF4"/>
    <w:rsid w:val="00330AEC"/>
    <w:rsid w:val="00332547"/>
    <w:rsid w:val="0033327B"/>
    <w:rsid w:val="0033393A"/>
    <w:rsid w:val="00333CED"/>
    <w:rsid w:val="003342E0"/>
    <w:rsid w:val="00334605"/>
    <w:rsid w:val="00334AF5"/>
    <w:rsid w:val="00334BE0"/>
    <w:rsid w:val="003354FC"/>
    <w:rsid w:val="003363F4"/>
    <w:rsid w:val="003369BD"/>
    <w:rsid w:val="00336B1A"/>
    <w:rsid w:val="003373DE"/>
    <w:rsid w:val="003379EA"/>
    <w:rsid w:val="00337A97"/>
    <w:rsid w:val="00337BEC"/>
    <w:rsid w:val="00337DF9"/>
    <w:rsid w:val="00340275"/>
    <w:rsid w:val="003406B4"/>
    <w:rsid w:val="00340A11"/>
    <w:rsid w:val="00340EC1"/>
    <w:rsid w:val="00341069"/>
    <w:rsid w:val="00341256"/>
    <w:rsid w:val="00341742"/>
    <w:rsid w:val="00342438"/>
    <w:rsid w:val="00343312"/>
    <w:rsid w:val="00343B2C"/>
    <w:rsid w:val="00343EFB"/>
    <w:rsid w:val="0034404A"/>
    <w:rsid w:val="0034420A"/>
    <w:rsid w:val="003448E7"/>
    <w:rsid w:val="003448F9"/>
    <w:rsid w:val="00345555"/>
    <w:rsid w:val="003456AB"/>
    <w:rsid w:val="003463DA"/>
    <w:rsid w:val="003468CB"/>
    <w:rsid w:val="00347615"/>
    <w:rsid w:val="003478B9"/>
    <w:rsid w:val="00350415"/>
    <w:rsid w:val="0035093A"/>
    <w:rsid w:val="003510C4"/>
    <w:rsid w:val="00351D51"/>
    <w:rsid w:val="00353F2A"/>
    <w:rsid w:val="0035421B"/>
    <w:rsid w:val="003558F7"/>
    <w:rsid w:val="00356C2F"/>
    <w:rsid w:val="00356C84"/>
    <w:rsid w:val="00356EF9"/>
    <w:rsid w:val="00356FFD"/>
    <w:rsid w:val="003600B1"/>
    <w:rsid w:val="00360674"/>
    <w:rsid w:val="003617DE"/>
    <w:rsid w:val="003629F7"/>
    <w:rsid w:val="00363685"/>
    <w:rsid w:val="00363B41"/>
    <w:rsid w:val="00364030"/>
    <w:rsid w:val="0036488D"/>
    <w:rsid w:val="00365AA3"/>
    <w:rsid w:val="00365D0A"/>
    <w:rsid w:val="003669F9"/>
    <w:rsid w:val="00366EDD"/>
    <w:rsid w:val="00366EEA"/>
    <w:rsid w:val="0036799C"/>
    <w:rsid w:val="00367A0C"/>
    <w:rsid w:val="003705AB"/>
    <w:rsid w:val="0037067D"/>
    <w:rsid w:val="00370FD4"/>
    <w:rsid w:val="003711A8"/>
    <w:rsid w:val="00371DB8"/>
    <w:rsid w:val="00371F91"/>
    <w:rsid w:val="00372D41"/>
    <w:rsid w:val="00373868"/>
    <w:rsid w:val="00373E34"/>
    <w:rsid w:val="00374F44"/>
    <w:rsid w:val="00375770"/>
    <w:rsid w:val="00376040"/>
    <w:rsid w:val="00376C25"/>
    <w:rsid w:val="00377640"/>
    <w:rsid w:val="00381013"/>
    <w:rsid w:val="00381463"/>
    <w:rsid w:val="00381A59"/>
    <w:rsid w:val="00382793"/>
    <w:rsid w:val="00382A55"/>
    <w:rsid w:val="00383153"/>
    <w:rsid w:val="0038412A"/>
    <w:rsid w:val="00384161"/>
    <w:rsid w:val="00384667"/>
    <w:rsid w:val="00384ABB"/>
    <w:rsid w:val="00384B0B"/>
    <w:rsid w:val="00385126"/>
    <w:rsid w:val="00385F96"/>
    <w:rsid w:val="00391190"/>
    <w:rsid w:val="003916E5"/>
    <w:rsid w:val="00391AD2"/>
    <w:rsid w:val="00391CED"/>
    <w:rsid w:val="00391E06"/>
    <w:rsid w:val="00391F2A"/>
    <w:rsid w:val="00391F40"/>
    <w:rsid w:val="00392EA3"/>
    <w:rsid w:val="0039320C"/>
    <w:rsid w:val="00395195"/>
    <w:rsid w:val="003956E6"/>
    <w:rsid w:val="00395E53"/>
    <w:rsid w:val="00397D8D"/>
    <w:rsid w:val="00397EAE"/>
    <w:rsid w:val="003A06E6"/>
    <w:rsid w:val="003A1257"/>
    <w:rsid w:val="003A154B"/>
    <w:rsid w:val="003A1C4A"/>
    <w:rsid w:val="003A2851"/>
    <w:rsid w:val="003A2C70"/>
    <w:rsid w:val="003A2D6A"/>
    <w:rsid w:val="003A460A"/>
    <w:rsid w:val="003A4FD5"/>
    <w:rsid w:val="003A5196"/>
    <w:rsid w:val="003A51CF"/>
    <w:rsid w:val="003A681E"/>
    <w:rsid w:val="003A698F"/>
    <w:rsid w:val="003A71C5"/>
    <w:rsid w:val="003A7A96"/>
    <w:rsid w:val="003B03B1"/>
    <w:rsid w:val="003B262B"/>
    <w:rsid w:val="003B3908"/>
    <w:rsid w:val="003B4168"/>
    <w:rsid w:val="003B422D"/>
    <w:rsid w:val="003B5DA1"/>
    <w:rsid w:val="003B5E1A"/>
    <w:rsid w:val="003B636D"/>
    <w:rsid w:val="003B6B0E"/>
    <w:rsid w:val="003B6D15"/>
    <w:rsid w:val="003B6E67"/>
    <w:rsid w:val="003B78D6"/>
    <w:rsid w:val="003C00C6"/>
    <w:rsid w:val="003C0B2F"/>
    <w:rsid w:val="003C1409"/>
    <w:rsid w:val="003C1656"/>
    <w:rsid w:val="003C1F9F"/>
    <w:rsid w:val="003C29D0"/>
    <w:rsid w:val="003C4213"/>
    <w:rsid w:val="003C45F2"/>
    <w:rsid w:val="003C52D0"/>
    <w:rsid w:val="003C5E8A"/>
    <w:rsid w:val="003C6140"/>
    <w:rsid w:val="003C6562"/>
    <w:rsid w:val="003C6BB6"/>
    <w:rsid w:val="003C6E2F"/>
    <w:rsid w:val="003C74F3"/>
    <w:rsid w:val="003C792E"/>
    <w:rsid w:val="003C7C72"/>
    <w:rsid w:val="003D059D"/>
    <w:rsid w:val="003D0A4D"/>
    <w:rsid w:val="003D0B5C"/>
    <w:rsid w:val="003D10B4"/>
    <w:rsid w:val="003D1564"/>
    <w:rsid w:val="003D3EFE"/>
    <w:rsid w:val="003D4B09"/>
    <w:rsid w:val="003D5353"/>
    <w:rsid w:val="003D5A13"/>
    <w:rsid w:val="003D678C"/>
    <w:rsid w:val="003D6A81"/>
    <w:rsid w:val="003D72B6"/>
    <w:rsid w:val="003E005D"/>
    <w:rsid w:val="003E19C3"/>
    <w:rsid w:val="003E1FE4"/>
    <w:rsid w:val="003E2438"/>
    <w:rsid w:val="003E382C"/>
    <w:rsid w:val="003E458F"/>
    <w:rsid w:val="003E5B24"/>
    <w:rsid w:val="003E637D"/>
    <w:rsid w:val="003E6945"/>
    <w:rsid w:val="003E73A2"/>
    <w:rsid w:val="003E7F92"/>
    <w:rsid w:val="003F1181"/>
    <w:rsid w:val="003F14EF"/>
    <w:rsid w:val="003F159A"/>
    <w:rsid w:val="003F20FF"/>
    <w:rsid w:val="003F28F3"/>
    <w:rsid w:val="003F30C3"/>
    <w:rsid w:val="003F43F8"/>
    <w:rsid w:val="003F4D0E"/>
    <w:rsid w:val="003F5A7E"/>
    <w:rsid w:val="003F65F1"/>
    <w:rsid w:val="003F65F8"/>
    <w:rsid w:val="003F6617"/>
    <w:rsid w:val="003F7B71"/>
    <w:rsid w:val="004002AF"/>
    <w:rsid w:val="004005AE"/>
    <w:rsid w:val="00400744"/>
    <w:rsid w:val="00400913"/>
    <w:rsid w:val="004009A3"/>
    <w:rsid w:val="0040125C"/>
    <w:rsid w:val="00402707"/>
    <w:rsid w:val="00402A07"/>
    <w:rsid w:val="0040426C"/>
    <w:rsid w:val="00404CA4"/>
    <w:rsid w:val="00405D71"/>
    <w:rsid w:val="004063D1"/>
    <w:rsid w:val="00406A4D"/>
    <w:rsid w:val="00407053"/>
    <w:rsid w:val="004078B3"/>
    <w:rsid w:val="00407C3F"/>
    <w:rsid w:val="00407DEA"/>
    <w:rsid w:val="00410321"/>
    <w:rsid w:val="004107FB"/>
    <w:rsid w:val="00410FAA"/>
    <w:rsid w:val="004128D4"/>
    <w:rsid w:val="0041426C"/>
    <w:rsid w:val="00414778"/>
    <w:rsid w:val="00414F8A"/>
    <w:rsid w:val="004159AF"/>
    <w:rsid w:val="004160A0"/>
    <w:rsid w:val="00416B4D"/>
    <w:rsid w:val="00417D17"/>
    <w:rsid w:val="00420036"/>
    <w:rsid w:val="004201A8"/>
    <w:rsid w:val="004214DC"/>
    <w:rsid w:val="00421BBB"/>
    <w:rsid w:val="00421F64"/>
    <w:rsid w:val="0042246F"/>
    <w:rsid w:val="00424072"/>
    <w:rsid w:val="0042497B"/>
    <w:rsid w:val="00424B45"/>
    <w:rsid w:val="00424CB9"/>
    <w:rsid w:val="0042529E"/>
    <w:rsid w:val="004252F4"/>
    <w:rsid w:val="0042561D"/>
    <w:rsid w:val="00426191"/>
    <w:rsid w:val="0042762B"/>
    <w:rsid w:val="00427CCB"/>
    <w:rsid w:val="004309DA"/>
    <w:rsid w:val="004310F8"/>
    <w:rsid w:val="00432BAB"/>
    <w:rsid w:val="00433AE7"/>
    <w:rsid w:val="00434505"/>
    <w:rsid w:val="00435851"/>
    <w:rsid w:val="00436186"/>
    <w:rsid w:val="0043767A"/>
    <w:rsid w:val="00437806"/>
    <w:rsid w:val="00440428"/>
    <w:rsid w:val="004407DC"/>
    <w:rsid w:val="00440A6A"/>
    <w:rsid w:val="00440F7C"/>
    <w:rsid w:val="00441049"/>
    <w:rsid w:val="0044115C"/>
    <w:rsid w:val="0044170B"/>
    <w:rsid w:val="004431DD"/>
    <w:rsid w:val="00445DAA"/>
    <w:rsid w:val="004460A6"/>
    <w:rsid w:val="004466D1"/>
    <w:rsid w:val="00446EF9"/>
    <w:rsid w:val="00447078"/>
    <w:rsid w:val="00447C72"/>
    <w:rsid w:val="00450209"/>
    <w:rsid w:val="00450258"/>
    <w:rsid w:val="004517DC"/>
    <w:rsid w:val="004520DD"/>
    <w:rsid w:val="004526AB"/>
    <w:rsid w:val="004528BC"/>
    <w:rsid w:val="00452B04"/>
    <w:rsid w:val="00452C22"/>
    <w:rsid w:val="00452C79"/>
    <w:rsid w:val="00453B63"/>
    <w:rsid w:val="00456D4F"/>
    <w:rsid w:val="00456F8E"/>
    <w:rsid w:val="00460328"/>
    <w:rsid w:val="00461351"/>
    <w:rsid w:val="004615E7"/>
    <w:rsid w:val="00461DA5"/>
    <w:rsid w:val="00462036"/>
    <w:rsid w:val="00462387"/>
    <w:rsid w:val="00462B39"/>
    <w:rsid w:val="004633F7"/>
    <w:rsid w:val="00463467"/>
    <w:rsid w:val="0046402A"/>
    <w:rsid w:val="004646A1"/>
    <w:rsid w:val="00464795"/>
    <w:rsid w:val="00464809"/>
    <w:rsid w:val="0046539E"/>
    <w:rsid w:val="00466259"/>
    <w:rsid w:val="00466721"/>
    <w:rsid w:val="00467909"/>
    <w:rsid w:val="00470513"/>
    <w:rsid w:val="004712B9"/>
    <w:rsid w:val="00471B72"/>
    <w:rsid w:val="00473605"/>
    <w:rsid w:val="004746EF"/>
    <w:rsid w:val="0047471D"/>
    <w:rsid w:val="00474882"/>
    <w:rsid w:val="00475309"/>
    <w:rsid w:val="00475AE6"/>
    <w:rsid w:val="00475D73"/>
    <w:rsid w:val="00476107"/>
    <w:rsid w:val="00476E7D"/>
    <w:rsid w:val="0047746A"/>
    <w:rsid w:val="004819F7"/>
    <w:rsid w:val="004826D8"/>
    <w:rsid w:val="00482990"/>
    <w:rsid w:val="00483118"/>
    <w:rsid w:val="00484475"/>
    <w:rsid w:val="00484846"/>
    <w:rsid w:val="00484FD0"/>
    <w:rsid w:val="0048614C"/>
    <w:rsid w:val="00486C02"/>
    <w:rsid w:val="00487101"/>
    <w:rsid w:val="004875BE"/>
    <w:rsid w:val="0048761E"/>
    <w:rsid w:val="00487FAD"/>
    <w:rsid w:val="00490A29"/>
    <w:rsid w:val="00490A81"/>
    <w:rsid w:val="00490C49"/>
    <w:rsid w:val="00490E77"/>
    <w:rsid w:val="00491348"/>
    <w:rsid w:val="00491389"/>
    <w:rsid w:val="004913C7"/>
    <w:rsid w:val="004926B4"/>
    <w:rsid w:val="00492BB9"/>
    <w:rsid w:val="00492BCA"/>
    <w:rsid w:val="00492EFB"/>
    <w:rsid w:val="00492F4E"/>
    <w:rsid w:val="00493137"/>
    <w:rsid w:val="00493668"/>
    <w:rsid w:val="0049424F"/>
    <w:rsid w:val="00495C5E"/>
    <w:rsid w:val="00496868"/>
    <w:rsid w:val="00497063"/>
    <w:rsid w:val="0049776E"/>
    <w:rsid w:val="00497B7F"/>
    <w:rsid w:val="004A01F0"/>
    <w:rsid w:val="004A0897"/>
    <w:rsid w:val="004A13E8"/>
    <w:rsid w:val="004A15DF"/>
    <w:rsid w:val="004A1760"/>
    <w:rsid w:val="004A2DB4"/>
    <w:rsid w:val="004A3256"/>
    <w:rsid w:val="004A42D3"/>
    <w:rsid w:val="004A58A8"/>
    <w:rsid w:val="004A622D"/>
    <w:rsid w:val="004A62DC"/>
    <w:rsid w:val="004A64E0"/>
    <w:rsid w:val="004A68C3"/>
    <w:rsid w:val="004A7607"/>
    <w:rsid w:val="004A78D8"/>
    <w:rsid w:val="004A7B66"/>
    <w:rsid w:val="004A7C23"/>
    <w:rsid w:val="004B1382"/>
    <w:rsid w:val="004B34C7"/>
    <w:rsid w:val="004B40CD"/>
    <w:rsid w:val="004B416F"/>
    <w:rsid w:val="004B48BE"/>
    <w:rsid w:val="004B49F3"/>
    <w:rsid w:val="004B4A17"/>
    <w:rsid w:val="004B5CAD"/>
    <w:rsid w:val="004B69E8"/>
    <w:rsid w:val="004B6ACB"/>
    <w:rsid w:val="004B6AEC"/>
    <w:rsid w:val="004B743E"/>
    <w:rsid w:val="004B77D3"/>
    <w:rsid w:val="004B781A"/>
    <w:rsid w:val="004C07FC"/>
    <w:rsid w:val="004C0D38"/>
    <w:rsid w:val="004C16F4"/>
    <w:rsid w:val="004C1920"/>
    <w:rsid w:val="004C2C89"/>
    <w:rsid w:val="004C4863"/>
    <w:rsid w:val="004C56C4"/>
    <w:rsid w:val="004C726D"/>
    <w:rsid w:val="004D00FE"/>
    <w:rsid w:val="004D03E5"/>
    <w:rsid w:val="004D22B4"/>
    <w:rsid w:val="004D2B01"/>
    <w:rsid w:val="004D32C2"/>
    <w:rsid w:val="004D3DD3"/>
    <w:rsid w:val="004D575E"/>
    <w:rsid w:val="004D57EA"/>
    <w:rsid w:val="004D6F49"/>
    <w:rsid w:val="004D7FE0"/>
    <w:rsid w:val="004E086A"/>
    <w:rsid w:val="004E1ED3"/>
    <w:rsid w:val="004E1EE3"/>
    <w:rsid w:val="004E2314"/>
    <w:rsid w:val="004E2410"/>
    <w:rsid w:val="004E2944"/>
    <w:rsid w:val="004E3652"/>
    <w:rsid w:val="004E4222"/>
    <w:rsid w:val="004E4D34"/>
    <w:rsid w:val="004E5585"/>
    <w:rsid w:val="004E69FF"/>
    <w:rsid w:val="004E754F"/>
    <w:rsid w:val="004F0F90"/>
    <w:rsid w:val="004F203D"/>
    <w:rsid w:val="004F25BD"/>
    <w:rsid w:val="004F2613"/>
    <w:rsid w:val="004F3347"/>
    <w:rsid w:val="004F477D"/>
    <w:rsid w:val="004F4D96"/>
    <w:rsid w:val="004F55F7"/>
    <w:rsid w:val="004F6A99"/>
    <w:rsid w:val="004F728C"/>
    <w:rsid w:val="004F7889"/>
    <w:rsid w:val="004F7CE8"/>
    <w:rsid w:val="005003CF"/>
    <w:rsid w:val="0050195C"/>
    <w:rsid w:val="00501D5F"/>
    <w:rsid w:val="00502E67"/>
    <w:rsid w:val="00505A1B"/>
    <w:rsid w:val="00506D73"/>
    <w:rsid w:val="00506EB6"/>
    <w:rsid w:val="00511D91"/>
    <w:rsid w:val="00512EAA"/>
    <w:rsid w:val="00513028"/>
    <w:rsid w:val="00514D6A"/>
    <w:rsid w:val="00515FDA"/>
    <w:rsid w:val="005160A0"/>
    <w:rsid w:val="005169BA"/>
    <w:rsid w:val="0051707A"/>
    <w:rsid w:val="00517186"/>
    <w:rsid w:val="0051720F"/>
    <w:rsid w:val="005205E2"/>
    <w:rsid w:val="00521B18"/>
    <w:rsid w:val="00522593"/>
    <w:rsid w:val="00523E0A"/>
    <w:rsid w:val="005252BC"/>
    <w:rsid w:val="005263CF"/>
    <w:rsid w:val="00526DA3"/>
    <w:rsid w:val="005272CA"/>
    <w:rsid w:val="00527BD7"/>
    <w:rsid w:val="00530B85"/>
    <w:rsid w:val="00530D2D"/>
    <w:rsid w:val="005311B1"/>
    <w:rsid w:val="0053147C"/>
    <w:rsid w:val="005329E2"/>
    <w:rsid w:val="00532CEB"/>
    <w:rsid w:val="00532D1E"/>
    <w:rsid w:val="005338E6"/>
    <w:rsid w:val="005338F2"/>
    <w:rsid w:val="00533F04"/>
    <w:rsid w:val="00536953"/>
    <w:rsid w:val="00536E3E"/>
    <w:rsid w:val="005373F7"/>
    <w:rsid w:val="00537D16"/>
    <w:rsid w:val="00540184"/>
    <w:rsid w:val="005409AE"/>
    <w:rsid w:val="00541110"/>
    <w:rsid w:val="00542566"/>
    <w:rsid w:val="005425DD"/>
    <w:rsid w:val="005428D7"/>
    <w:rsid w:val="00542A17"/>
    <w:rsid w:val="005432AA"/>
    <w:rsid w:val="005433E0"/>
    <w:rsid w:val="00545631"/>
    <w:rsid w:val="00545AC4"/>
    <w:rsid w:val="00545CD6"/>
    <w:rsid w:val="00546CEB"/>
    <w:rsid w:val="00546EAC"/>
    <w:rsid w:val="00547157"/>
    <w:rsid w:val="00550D69"/>
    <w:rsid w:val="00551988"/>
    <w:rsid w:val="0055209F"/>
    <w:rsid w:val="00552588"/>
    <w:rsid w:val="00552789"/>
    <w:rsid w:val="00552F83"/>
    <w:rsid w:val="00553D7D"/>
    <w:rsid w:val="005553A1"/>
    <w:rsid w:val="00555CBC"/>
    <w:rsid w:val="0055625D"/>
    <w:rsid w:val="00557E44"/>
    <w:rsid w:val="00560372"/>
    <w:rsid w:val="005613A4"/>
    <w:rsid w:val="00562D52"/>
    <w:rsid w:val="005631CF"/>
    <w:rsid w:val="00563604"/>
    <w:rsid w:val="00563663"/>
    <w:rsid w:val="0056389B"/>
    <w:rsid w:val="00563C3D"/>
    <w:rsid w:val="00564965"/>
    <w:rsid w:val="00564F55"/>
    <w:rsid w:val="00565909"/>
    <w:rsid w:val="00567184"/>
    <w:rsid w:val="0056789E"/>
    <w:rsid w:val="00567F52"/>
    <w:rsid w:val="005701F8"/>
    <w:rsid w:val="005702FA"/>
    <w:rsid w:val="00571CBB"/>
    <w:rsid w:val="00571D26"/>
    <w:rsid w:val="0057366D"/>
    <w:rsid w:val="005738A8"/>
    <w:rsid w:val="005738AE"/>
    <w:rsid w:val="00573D5B"/>
    <w:rsid w:val="005740CC"/>
    <w:rsid w:val="00574462"/>
    <w:rsid w:val="00574B65"/>
    <w:rsid w:val="00575303"/>
    <w:rsid w:val="005757AA"/>
    <w:rsid w:val="00576121"/>
    <w:rsid w:val="005768BD"/>
    <w:rsid w:val="0058002A"/>
    <w:rsid w:val="00580FF4"/>
    <w:rsid w:val="005812F1"/>
    <w:rsid w:val="00581762"/>
    <w:rsid w:val="00581A20"/>
    <w:rsid w:val="00583407"/>
    <w:rsid w:val="005836C4"/>
    <w:rsid w:val="00583BF7"/>
    <w:rsid w:val="00583F68"/>
    <w:rsid w:val="00584A0E"/>
    <w:rsid w:val="0058702E"/>
    <w:rsid w:val="00587489"/>
    <w:rsid w:val="0059086A"/>
    <w:rsid w:val="0059125F"/>
    <w:rsid w:val="0059207A"/>
    <w:rsid w:val="0059367E"/>
    <w:rsid w:val="00593B92"/>
    <w:rsid w:val="00594322"/>
    <w:rsid w:val="00597FD0"/>
    <w:rsid w:val="005A0652"/>
    <w:rsid w:val="005A0D49"/>
    <w:rsid w:val="005A0E05"/>
    <w:rsid w:val="005A18C5"/>
    <w:rsid w:val="005A2AF9"/>
    <w:rsid w:val="005A3044"/>
    <w:rsid w:val="005A38AE"/>
    <w:rsid w:val="005A3DA9"/>
    <w:rsid w:val="005A5415"/>
    <w:rsid w:val="005A6AC4"/>
    <w:rsid w:val="005A738C"/>
    <w:rsid w:val="005B053B"/>
    <w:rsid w:val="005B1558"/>
    <w:rsid w:val="005B28F8"/>
    <w:rsid w:val="005B46ED"/>
    <w:rsid w:val="005B4C3B"/>
    <w:rsid w:val="005B6E0B"/>
    <w:rsid w:val="005C0052"/>
    <w:rsid w:val="005C3547"/>
    <w:rsid w:val="005C37FF"/>
    <w:rsid w:val="005C3828"/>
    <w:rsid w:val="005C4AE1"/>
    <w:rsid w:val="005C50C6"/>
    <w:rsid w:val="005C51C2"/>
    <w:rsid w:val="005C557A"/>
    <w:rsid w:val="005C573F"/>
    <w:rsid w:val="005C5B84"/>
    <w:rsid w:val="005C673B"/>
    <w:rsid w:val="005C6873"/>
    <w:rsid w:val="005C724C"/>
    <w:rsid w:val="005C7483"/>
    <w:rsid w:val="005C75BB"/>
    <w:rsid w:val="005C76E1"/>
    <w:rsid w:val="005D02DA"/>
    <w:rsid w:val="005D291B"/>
    <w:rsid w:val="005D3F55"/>
    <w:rsid w:val="005D3F96"/>
    <w:rsid w:val="005D4C24"/>
    <w:rsid w:val="005D5059"/>
    <w:rsid w:val="005D5E20"/>
    <w:rsid w:val="005D63E7"/>
    <w:rsid w:val="005D6783"/>
    <w:rsid w:val="005D6A70"/>
    <w:rsid w:val="005D74B4"/>
    <w:rsid w:val="005D750F"/>
    <w:rsid w:val="005E0157"/>
    <w:rsid w:val="005E0395"/>
    <w:rsid w:val="005E0FE0"/>
    <w:rsid w:val="005E1230"/>
    <w:rsid w:val="005E16A6"/>
    <w:rsid w:val="005E20BB"/>
    <w:rsid w:val="005E33A2"/>
    <w:rsid w:val="005E3AB5"/>
    <w:rsid w:val="005E3CAD"/>
    <w:rsid w:val="005E44C5"/>
    <w:rsid w:val="005E4E9A"/>
    <w:rsid w:val="005E5122"/>
    <w:rsid w:val="005E5CF6"/>
    <w:rsid w:val="005E65C4"/>
    <w:rsid w:val="005E7157"/>
    <w:rsid w:val="005E7AD8"/>
    <w:rsid w:val="005E7B1C"/>
    <w:rsid w:val="005F007E"/>
    <w:rsid w:val="005F07E1"/>
    <w:rsid w:val="005F0CE9"/>
    <w:rsid w:val="005F0E44"/>
    <w:rsid w:val="005F16B2"/>
    <w:rsid w:val="005F1B5E"/>
    <w:rsid w:val="005F259D"/>
    <w:rsid w:val="005F2758"/>
    <w:rsid w:val="005F3397"/>
    <w:rsid w:val="005F3AC6"/>
    <w:rsid w:val="005F5481"/>
    <w:rsid w:val="005F63E1"/>
    <w:rsid w:val="005F6D04"/>
    <w:rsid w:val="005F7AE7"/>
    <w:rsid w:val="005F7D99"/>
    <w:rsid w:val="005F7FCE"/>
    <w:rsid w:val="00600116"/>
    <w:rsid w:val="006005FE"/>
    <w:rsid w:val="00600F2E"/>
    <w:rsid w:val="00602A37"/>
    <w:rsid w:val="00602ED4"/>
    <w:rsid w:val="006040BF"/>
    <w:rsid w:val="00604D49"/>
    <w:rsid w:val="00604E5A"/>
    <w:rsid w:val="00604F1A"/>
    <w:rsid w:val="0060521F"/>
    <w:rsid w:val="006056FC"/>
    <w:rsid w:val="006061F8"/>
    <w:rsid w:val="00606323"/>
    <w:rsid w:val="006066C0"/>
    <w:rsid w:val="00607DD6"/>
    <w:rsid w:val="006109AA"/>
    <w:rsid w:val="00610B44"/>
    <w:rsid w:val="00610C4C"/>
    <w:rsid w:val="00611B6C"/>
    <w:rsid w:val="00611BBD"/>
    <w:rsid w:val="006136F2"/>
    <w:rsid w:val="00613886"/>
    <w:rsid w:val="006147C6"/>
    <w:rsid w:val="00614886"/>
    <w:rsid w:val="00614B35"/>
    <w:rsid w:val="00614E97"/>
    <w:rsid w:val="006150F2"/>
    <w:rsid w:val="006151B0"/>
    <w:rsid w:val="0061545C"/>
    <w:rsid w:val="00615DBB"/>
    <w:rsid w:val="00617D8A"/>
    <w:rsid w:val="00617F1D"/>
    <w:rsid w:val="00620FE8"/>
    <w:rsid w:val="00621363"/>
    <w:rsid w:val="0062153A"/>
    <w:rsid w:val="006220F6"/>
    <w:rsid w:val="00622117"/>
    <w:rsid w:val="00622555"/>
    <w:rsid w:val="00622925"/>
    <w:rsid w:val="00622BD9"/>
    <w:rsid w:val="006239EA"/>
    <w:rsid w:val="00624461"/>
    <w:rsid w:val="0062466C"/>
    <w:rsid w:val="00625181"/>
    <w:rsid w:val="00626288"/>
    <w:rsid w:val="00627A6C"/>
    <w:rsid w:val="00627D87"/>
    <w:rsid w:val="0063091F"/>
    <w:rsid w:val="00630CA2"/>
    <w:rsid w:val="00631925"/>
    <w:rsid w:val="00634489"/>
    <w:rsid w:val="006367FA"/>
    <w:rsid w:val="00640037"/>
    <w:rsid w:val="006405D9"/>
    <w:rsid w:val="006409F0"/>
    <w:rsid w:val="00641414"/>
    <w:rsid w:val="00642951"/>
    <w:rsid w:val="00642C69"/>
    <w:rsid w:val="00643C4B"/>
    <w:rsid w:val="00643DB9"/>
    <w:rsid w:val="00644292"/>
    <w:rsid w:val="00644524"/>
    <w:rsid w:val="00644BC1"/>
    <w:rsid w:val="0064502D"/>
    <w:rsid w:val="00646160"/>
    <w:rsid w:val="006465E4"/>
    <w:rsid w:val="0064661D"/>
    <w:rsid w:val="00646E35"/>
    <w:rsid w:val="00646E5A"/>
    <w:rsid w:val="006474E5"/>
    <w:rsid w:val="00650314"/>
    <w:rsid w:val="0065099D"/>
    <w:rsid w:val="00650B43"/>
    <w:rsid w:val="00650DA8"/>
    <w:rsid w:val="006511E5"/>
    <w:rsid w:val="006517ED"/>
    <w:rsid w:val="006529F1"/>
    <w:rsid w:val="00652F23"/>
    <w:rsid w:val="0065386F"/>
    <w:rsid w:val="00653938"/>
    <w:rsid w:val="00653A80"/>
    <w:rsid w:val="0065402F"/>
    <w:rsid w:val="00654C27"/>
    <w:rsid w:val="00654EF1"/>
    <w:rsid w:val="00655C0C"/>
    <w:rsid w:val="00655C24"/>
    <w:rsid w:val="00656777"/>
    <w:rsid w:val="0065736C"/>
    <w:rsid w:val="00657661"/>
    <w:rsid w:val="0066004B"/>
    <w:rsid w:val="0066059F"/>
    <w:rsid w:val="006607C5"/>
    <w:rsid w:val="00661537"/>
    <w:rsid w:val="00661677"/>
    <w:rsid w:val="006618F3"/>
    <w:rsid w:val="00661BD5"/>
    <w:rsid w:val="006646A8"/>
    <w:rsid w:val="0066507D"/>
    <w:rsid w:val="00665138"/>
    <w:rsid w:val="00665380"/>
    <w:rsid w:val="0066539E"/>
    <w:rsid w:val="00665DE0"/>
    <w:rsid w:val="00665F6C"/>
    <w:rsid w:val="0066616A"/>
    <w:rsid w:val="00666728"/>
    <w:rsid w:val="00667115"/>
    <w:rsid w:val="00667BAA"/>
    <w:rsid w:val="00670761"/>
    <w:rsid w:val="006709C0"/>
    <w:rsid w:val="00670F7C"/>
    <w:rsid w:val="006713A5"/>
    <w:rsid w:val="0067146D"/>
    <w:rsid w:val="0067178E"/>
    <w:rsid w:val="0067240A"/>
    <w:rsid w:val="006724EB"/>
    <w:rsid w:val="0067301A"/>
    <w:rsid w:val="00673039"/>
    <w:rsid w:val="0067318A"/>
    <w:rsid w:val="00673ABF"/>
    <w:rsid w:val="00674A47"/>
    <w:rsid w:val="00674D02"/>
    <w:rsid w:val="00675B02"/>
    <w:rsid w:val="00675E27"/>
    <w:rsid w:val="00675EAB"/>
    <w:rsid w:val="006776CE"/>
    <w:rsid w:val="006778EA"/>
    <w:rsid w:val="00677D35"/>
    <w:rsid w:val="006820CC"/>
    <w:rsid w:val="0068295A"/>
    <w:rsid w:val="00683834"/>
    <w:rsid w:val="00684E2E"/>
    <w:rsid w:val="00686AFD"/>
    <w:rsid w:val="00686B7F"/>
    <w:rsid w:val="00687894"/>
    <w:rsid w:val="00690C34"/>
    <w:rsid w:val="00691BE0"/>
    <w:rsid w:val="00692303"/>
    <w:rsid w:val="006923CD"/>
    <w:rsid w:val="006928DA"/>
    <w:rsid w:val="0069345C"/>
    <w:rsid w:val="00694392"/>
    <w:rsid w:val="006950AD"/>
    <w:rsid w:val="006955BF"/>
    <w:rsid w:val="00695702"/>
    <w:rsid w:val="00695743"/>
    <w:rsid w:val="00695F6B"/>
    <w:rsid w:val="00697C6D"/>
    <w:rsid w:val="006A036B"/>
    <w:rsid w:val="006A135F"/>
    <w:rsid w:val="006A2844"/>
    <w:rsid w:val="006A30D9"/>
    <w:rsid w:val="006A3672"/>
    <w:rsid w:val="006A3D5F"/>
    <w:rsid w:val="006A411C"/>
    <w:rsid w:val="006A4442"/>
    <w:rsid w:val="006A4BDE"/>
    <w:rsid w:val="006A4D90"/>
    <w:rsid w:val="006A51D2"/>
    <w:rsid w:val="006A53D2"/>
    <w:rsid w:val="006A70AA"/>
    <w:rsid w:val="006A79BD"/>
    <w:rsid w:val="006A7A93"/>
    <w:rsid w:val="006B0735"/>
    <w:rsid w:val="006B2CA5"/>
    <w:rsid w:val="006B31EB"/>
    <w:rsid w:val="006B49B3"/>
    <w:rsid w:val="006B512D"/>
    <w:rsid w:val="006B6346"/>
    <w:rsid w:val="006B7069"/>
    <w:rsid w:val="006B7DDA"/>
    <w:rsid w:val="006C003D"/>
    <w:rsid w:val="006C312B"/>
    <w:rsid w:val="006C3343"/>
    <w:rsid w:val="006C474D"/>
    <w:rsid w:val="006C47E8"/>
    <w:rsid w:val="006C4808"/>
    <w:rsid w:val="006C4C38"/>
    <w:rsid w:val="006C5C86"/>
    <w:rsid w:val="006D07E6"/>
    <w:rsid w:val="006D09E1"/>
    <w:rsid w:val="006D10ED"/>
    <w:rsid w:val="006D1262"/>
    <w:rsid w:val="006D1BC2"/>
    <w:rsid w:val="006D1C37"/>
    <w:rsid w:val="006D214C"/>
    <w:rsid w:val="006D3A3E"/>
    <w:rsid w:val="006D3F5F"/>
    <w:rsid w:val="006D4503"/>
    <w:rsid w:val="006D4525"/>
    <w:rsid w:val="006D45DE"/>
    <w:rsid w:val="006D509F"/>
    <w:rsid w:val="006D5651"/>
    <w:rsid w:val="006D5CDC"/>
    <w:rsid w:val="006D5F83"/>
    <w:rsid w:val="006D67DB"/>
    <w:rsid w:val="006D6F77"/>
    <w:rsid w:val="006D7005"/>
    <w:rsid w:val="006D70DC"/>
    <w:rsid w:val="006D7BA7"/>
    <w:rsid w:val="006D7ED7"/>
    <w:rsid w:val="006E00CF"/>
    <w:rsid w:val="006E02DD"/>
    <w:rsid w:val="006E06AE"/>
    <w:rsid w:val="006E0FE9"/>
    <w:rsid w:val="006E1270"/>
    <w:rsid w:val="006E1950"/>
    <w:rsid w:val="006E1967"/>
    <w:rsid w:val="006E2AE6"/>
    <w:rsid w:val="006E2E81"/>
    <w:rsid w:val="006E3137"/>
    <w:rsid w:val="006E3543"/>
    <w:rsid w:val="006E48CF"/>
    <w:rsid w:val="006E5201"/>
    <w:rsid w:val="006E644C"/>
    <w:rsid w:val="006E7F1B"/>
    <w:rsid w:val="006F0679"/>
    <w:rsid w:val="006F0971"/>
    <w:rsid w:val="006F0DD9"/>
    <w:rsid w:val="006F26B5"/>
    <w:rsid w:val="006F3253"/>
    <w:rsid w:val="006F4395"/>
    <w:rsid w:val="006F4B18"/>
    <w:rsid w:val="006F62F2"/>
    <w:rsid w:val="006F65A2"/>
    <w:rsid w:val="006F6A41"/>
    <w:rsid w:val="006F76CE"/>
    <w:rsid w:val="006F7A12"/>
    <w:rsid w:val="006F7FB6"/>
    <w:rsid w:val="0070055B"/>
    <w:rsid w:val="00701012"/>
    <w:rsid w:val="007014AB"/>
    <w:rsid w:val="007017C6"/>
    <w:rsid w:val="00701DD6"/>
    <w:rsid w:val="00702218"/>
    <w:rsid w:val="00702733"/>
    <w:rsid w:val="00703028"/>
    <w:rsid w:val="00703B56"/>
    <w:rsid w:val="00703D44"/>
    <w:rsid w:val="00704043"/>
    <w:rsid w:val="0070417A"/>
    <w:rsid w:val="00704805"/>
    <w:rsid w:val="00705F82"/>
    <w:rsid w:val="00706B69"/>
    <w:rsid w:val="00710FF4"/>
    <w:rsid w:val="00711002"/>
    <w:rsid w:val="00711E55"/>
    <w:rsid w:val="007120D0"/>
    <w:rsid w:val="00712EA1"/>
    <w:rsid w:val="00713606"/>
    <w:rsid w:val="00715C32"/>
    <w:rsid w:val="007165FF"/>
    <w:rsid w:val="00716789"/>
    <w:rsid w:val="00717666"/>
    <w:rsid w:val="00720004"/>
    <w:rsid w:val="00720468"/>
    <w:rsid w:val="00720816"/>
    <w:rsid w:val="00720975"/>
    <w:rsid w:val="00723E14"/>
    <w:rsid w:val="00723E4D"/>
    <w:rsid w:val="0072421B"/>
    <w:rsid w:val="00725048"/>
    <w:rsid w:val="007250D0"/>
    <w:rsid w:val="00725582"/>
    <w:rsid w:val="0072590A"/>
    <w:rsid w:val="00725A5F"/>
    <w:rsid w:val="00726FD5"/>
    <w:rsid w:val="0072712E"/>
    <w:rsid w:val="00727856"/>
    <w:rsid w:val="00730F92"/>
    <w:rsid w:val="007325E5"/>
    <w:rsid w:val="00732E05"/>
    <w:rsid w:val="00732F95"/>
    <w:rsid w:val="00733850"/>
    <w:rsid w:val="00734944"/>
    <w:rsid w:val="00734995"/>
    <w:rsid w:val="00734B77"/>
    <w:rsid w:val="00735304"/>
    <w:rsid w:val="00735FDB"/>
    <w:rsid w:val="00736ECE"/>
    <w:rsid w:val="00737109"/>
    <w:rsid w:val="00737A26"/>
    <w:rsid w:val="00737AF3"/>
    <w:rsid w:val="00740073"/>
    <w:rsid w:val="00740A88"/>
    <w:rsid w:val="007410B7"/>
    <w:rsid w:val="007416B1"/>
    <w:rsid w:val="00741AF9"/>
    <w:rsid w:val="00741C58"/>
    <w:rsid w:val="00742407"/>
    <w:rsid w:val="0074248E"/>
    <w:rsid w:val="00743769"/>
    <w:rsid w:val="00743AAE"/>
    <w:rsid w:val="00743C37"/>
    <w:rsid w:val="007442D0"/>
    <w:rsid w:val="00744E0B"/>
    <w:rsid w:val="00744E83"/>
    <w:rsid w:val="007458FC"/>
    <w:rsid w:val="00746B38"/>
    <w:rsid w:val="00746D68"/>
    <w:rsid w:val="00746EC9"/>
    <w:rsid w:val="00746EDB"/>
    <w:rsid w:val="0074765C"/>
    <w:rsid w:val="00747715"/>
    <w:rsid w:val="00750C01"/>
    <w:rsid w:val="007518D6"/>
    <w:rsid w:val="007519B4"/>
    <w:rsid w:val="00751F39"/>
    <w:rsid w:val="007520F6"/>
    <w:rsid w:val="0075228C"/>
    <w:rsid w:val="00753299"/>
    <w:rsid w:val="00753807"/>
    <w:rsid w:val="007539EA"/>
    <w:rsid w:val="00754434"/>
    <w:rsid w:val="00755D7C"/>
    <w:rsid w:val="00756D63"/>
    <w:rsid w:val="00756E11"/>
    <w:rsid w:val="00757A6A"/>
    <w:rsid w:val="00757AD9"/>
    <w:rsid w:val="00760A78"/>
    <w:rsid w:val="00761124"/>
    <w:rsid w:val="0076224E"/>
    <w:rsid w:val="00762FD8"/>
    <w:rsid w:val="00763E71"/>
    <w:rsid w:val="00763FA1"/>
    <w:rsid w:val="00766E62"/>
    <w:rsid w:val="007676FE"/>
    <w:rsid w:val="00770564"/>
    <w:rsid w:val="00770569"/>
    <w:rsid w:val="00770618"/>
    <w:rsid w:val="00770C76"/>
    <w:rsid w:val="00770F4A"/>
    <w:rsid w:val="007710F7"/>
    <w:rsid w:val="00771894"/>
    <w:rsid w:val="007725B4"/>
    <w:rsid w:val="00772A8C"/>
    <w:rsid w:val="00772D87"/>
    <w:rsid w:val="0077327E"/>
    <w:rsid w:val="00773F0E"/>
    <w:rsid w:val="0077429A"/>
    <w:rsid w:val="00775CBA"/>
    <w:rsid w:val="00776BAC"/>
    <w:rsid w:val="00777783"/>
    <w:rsid w:val="00777905"/>
    <w:rsid w:val="00777B40"/>
    <w:rsid w:val="00777FFD"/>
    <w:rsid w:val="007802C5"/>
    <w:rsid w:val="00781676"/>
    <w:rsid w:val="007826FF"/>
    <w:rsid w:val="0078313F"/>
    <w:rsid w:val="007843FE"/>
    <w:rsid w:val="00784A6D"/>
    <w:rsid w:val="00784A96"/>
    <w:rsid w:val="00784BC9"/>
    <w:rsid w:val="00784F5C"/>
    <w:rsid w:val="00785BAF"/>
    <w:rsid w:val="00785D29"/>
    <w:rsid w:val="00786F7C"/>
    <w:rsid w:val="00786FCF"/>
    <w:rsid w:val="007874A7"/>
    <w:rsid w:val="0078778B"/>
    <w:rsid w:val="0079038A"/>
    <w:rsid w:val="00790924"/>
    <w:rsid w:val="00792129"/>
    <w:rsid w:val="00793F70"/>
    <w:rsid w:val="007955CC"/>
    <w:rsid w:val="0079585F"/>
    <w:rsid w:val="00795AAC"/>
    <w:rsid w:val="00796757"/>
    <w:rsid w:val="007971F5"/>
    <w:rsid w:val="00797778"/>
    <w:rsid w:val="007979DE"/>
    <w:rsid w:val="00797FEC"/>
    <w:rsid w:val="007A00F8"/>
    <w:rsid w:val="007A1363"/>
    <w:rsid w:val="007A2785"/>
    <w:rsid w:val="007A390A"/>
    <w:rsid w:val="007A4116"/>
    <w:rsid w:val="007A441D"/>
    <w:rsid w:val="007A4F40"/>
    <w:rsid w:val="007A5955"/>
    <w:rsid w:val="007A59B7"/>
    <w:rsid w:val="007A6C88"/>
    <w:rsid w:val="007A6C99"/>
    <w:rsid w:val="007A72F9"/>
    <w:rsid w:val="007A736B"/>
    <w:rsid w:val="007B0741"/>
    <w:rsid w:val="007B0B6B"/>
    <w:rsid w:val="007B29BA"/>
    <w:rsid w:val="007B3C1F"/>
    <w:rsid w:val="007B405F"/>
    <w:rsid w:val="007B5A1C"/>
    <w:rsid w:val="007B5FDA"/>
    <w:rsid w:val="007B71CE"/>
    <w:rsid w:val="007B77BC"/>
    <w:rsid w:val="007B7A0E"/>
    <w:rsid w:val="007B7A96"/>
    <w:rsid w:val="007C0451"/>
    <w:rsid w:val="007C0CEC"/>
    <w:rsid w:val="007C17B4"/>
    <w:rsid w:val="007C3676"/>
    <w:rsid w:val="007C370B"/>
    <w:rsid w:val="007C38B5"/>
    <w:rsid w:val="007C38F0"/>
    <w:rsid w:val="007C3E37"/>
    <w:rsid w:val="007C3E99"/>
    <w:rsid w:val="007C4CA9"/>
    <w:rsid w:val="007C50BA"/>
    <w:rsid w:val="007C5CF3"/>
    <w:rsid w:val="007C61A9"/>
    <w:rsid w:val="007C6FF3"/>
    <w:rsid w:val="007C7A28"/>
    <w:rsid w:val="007D0BF5"/>
    <w:rsid w:val="007D198C"/>
    <w:rsid w:val="007D1BE8"/>
    <w:rsid w:val="007D2188"/>
    <w:rsid w:val="007D37F9"/>
    <w:rsid w:val="007D5C27"/>
    <w:rsid w:val="007D7876"/>
    <w:rsid w:val="007E041E"/>
    <w:rsid w:val="007E1CEE"/>
    <w:rsid w:val="007E2A8C"/>
    <w:rsid w:val="007E2F58"/>
    <w:rsid w:val="007E329F"/>
    <w:rsid w:val="007E32FD"/>
    <w:rsid w:val="007E38D3"/>
    <w:rsid w:val="007E463B"/>
    <w:rsid w:val="007E4CD7"/>
    <w:rsid w:val="007E5434"/>
    <w:rsid w:val="007E6998"/>
    <w:rsid w:val="007E6A9D"/>
    <w:rsid w:val="007E6EAA"/>
    <w:rsid w:val="007F03C2"/>
    <w:rsid w:val="007F09D6"/>
    <w:rsid w:val="007F0BFD"/>
    <w:rsid w:val="007F0D24"/>
    <w:rsid w:val="007F0F18"/>
    <w:rsid w:val="007F2708"/>
    <w:rsid w:val="007F27D3"/>
    <w:rsid w:val="007F3386"/>
    <w:rsid w:val="007F3428"/>
    <w:rsid w:val="007F4507"/>
    <w:rsid w:val="007F49C6"/>
    <w:rsid w:val="007F4FCF"/>
    <w:rsid w:val="007F5D03"/>
    <w:rsid w:val="007F6A26"/>
    <w:rsid w:val="007F6C31"/>
    <w:rsid w:val="007F6E89"/>
    <w:rsid w:val="00802373"/>
    <w:rsid w:val="0080261E"/>
    <w:rsid w:val="00802CAA"/>
    <w:rsid w:val="00802D58"/>
    <w:rsid w:val="00803E80"/>
    <w:rsid w:val="008046FD"/>
    <w:rsid w:val="008048D7"/>
    <w:rsid w:val="008051F4"/>
    <w:rsid w:val="008062A2"/>
    <w:rsid w:val="008106A5"/>
    <w:rsid w:val="00811331"/>
    <w:rsid w:val="00811BD3"/>
    <w:rsid w:val="008136DA"/>
    <w:rsid w:val="00813E0B"/>
    <w:rsid w:val="00814C9D"/>
    <w:rsid w:val="0081578B"/>
    <w:rsid w:val="008159D7"/>
    <w:rsid w:val="00815CF2"/>
    <w:rsid w:val="0081600D"/>
    <w:rsid w:val="008169C3"/>
    <w:rsid w:val="008170D3"/>
    <w:rsid w:val="008176EF"/>
    <w:rsid w:val="00817D27"/>
    <w:rsid w:val="008210F4"/>
    <w:rsid w:val="00821622"/>
    <w:rsid w:val="00821D3F"/>
    <w:rsid w:val="00821FC9"/>
    <w:rsid w:val="00822E27"/>
    <w:rsid w:val="00823346"/>
    <w:rsid w:val="00823914"/>
    <w:rsid w:val="00823CF9"/>
    <w:rsid w:val="00823DD8"/>
    <w:rsid w:val="0082443B"/>
    <w:rsid w:val="00824879"/>
    <w:rsid w:val="00824B9D"/>
    <w:rsid w:val="008259F3"/>
    <w:rsid w:val="008263D1"/>
    <w:rsid w:val="008266C1"/>
    <w:rsid w:val="00826BBA"/>
    <w:rsid w:val="00826BBD"/>
    <w:rsid w:val="008275E0"/>
    <w:rsid w:val="0083033A"/>
    <w:rsid w:val="0083114D"/>
    <w:rsid w:val="008317A7"/>
    <w:rsid w:val="00831943"/>
    <w:rsid w:val="00831B51"/>
    <w:rsid w:val="0083213A"/>
    <w:rsid w:val="00832B8F"/>
    <w:rsid w:val="00833D48"/>
    <w:rsid w:val="008341E9"/>
    <w:rsid w:val="00834513"/>
    <w:rsid w:val="00834A95"/>
    <w:rsid w:val="0083552C"/>
    <w:rsid w:val="00835B60"/>
    <w:rsid w:val="00835DD8"/>
    <w:rsid w:val="00836FE1"/>
    <w:rsid w:val="00840325"/>
    <w:rsid w:val="0084259C"/>
    <w:rsid w:val="00842757"/>
    <w:rsid w:val="0084363D"/>
    <w:rsid w:val="00843980"/>
    <w:rsid w:val="00843EF8"/>
    <w:rsid w:val="00844266"/>
    <w:rsid w:val="00844532"/>
    <w:rsid w:val="00845DF8"/>
    <w:rsid w:val="0084628A"/>
    <w:rsid w:val="008464BB"/>
    <w:rsid w:val="00846E3E"/>
    <w:rsid w:val="008470FD"/>
    <w:rsid w:val="00847F76"/>
    <w:rsid w:val="0085176B"/>
    <w:rsid w:val="00852768"/>
    <w:rsid w:val="00852929"/>
    <w:rsid w:val="00854A72"/>
    <w:rsid w:val="00855B13"/>
    <w:rsid w:val="0085667D"/>
    <w:rsid w:val="008571E3"/>
    <w:rsid w:val="00860701"/>
    <w:rsid w:val="00861243"/>
    <w:rsid w:val="008616FE"/>
    <w:rsid w:val="00862305"/>
    <w:rsid w:val="00862729"/>
    <w:rsid w:val="008639E5"/>
    <w:rsid w:val="00864116"/>
    <w:rsid w:val="008643CB"/>
    <w:rsid w:val="00864553"/>
    <w:rsid w:val="00864880"/>
    <w:rsid w:val="00866530"/>
    <w:rsid w:val="008701A3"/>
    <w:rsid w:val="008706C0"/>
    <w:rsid w:val="0087088B"/>
    <w:rsid w:val="00870E99"/>
    <w:rsid w:val="00871988"/>
    <w:rsid w:val="00871F47"/>
    <w:rsid w:val="00872088"/>
    <w:rsid w:val="008736B0"/>
    <w:rsid w:val="0087563E"/>
    <w:rsid w:val="008768F4"/>
    <w:rsid w:val="00880829"/>
    <w:rsid w:val="008826C3"/>
    <w:rsid w:val="0088271B"/>
    <w:rsid w:val="00884824"/>
    <w:rsid w:val="008851A9"/>
    <w:rsid w:val="0088532A"/>
    <w:rsid w:val="008855DE"/>
    <w:rsid w:val="008856BD"/>
    <w:rsid w:val="00886215"/>
    <w:rsid w:val="008867AB"/>
    <w:rsid w:val="00886839"/>
    <w:rsid w:val="00886A55"/>
    <w:rsid w:val="00890ECA"/>
    <w:rsid w:val="008919FF"/>
    <w:rsid w:val="00891A2A"/>
    <w:rsid w:val="00891EE0"/>
    <w:rsid w:val="0089259E"/>
    <w:rsid w:val="00892AD8"/>
    <w:rsid w:val="008932E1"/>
    <w:rsid w:val="00893309"/>
    <w:rsid w:val="00893B2B"/>
    <w:rsid w:val="00893BA7"/>
    <w:rsid w:val="0089404A"/>
    <w:rsid w:val="00894DF4"/>
    <w:rsid w:val="00895C43"/>
    <w:rsid w:val="00895DDD"/>
    <w:rsid w:val="00896E8F"/>
    <w:rsid w:val="00896F83"/>
    <w:rsid w:val="0089762E"/>
    <w:rsid w:val="00897C43"/>
    <w:rsid w:val="008A0D0F"/>
    <w:rsid w:val="008A0F9E"/>
    <w:rsid w:val="008A1455"/>
    <w:rsid w:val="008A16F1"/>
    <w:rsid w:val="008A27A9"/>
    <w:rsid w:val="008A2858"/>
    <w:rsid w:val="008A2CCB"/>
    <w:rsid w:val="008A2EFD"/>
    <w:rsid w:val="008A3CC8"/>
    <w:rsid w:val="008A510C"/>
    <w:rsid w:val="008A59E6"/>
    <w:rsid w:val="008A59E9"/>
    <w:rsid w:val="008A6115"/>
    <w:rsid w:val="008A6516"/>
    <w:rsid w:val="008A69B3"/>
    <w:rsid w:val="008A6B56"/>
    <w:rsid w:val="008A796E"/>
    <w:rsid w:val="008A79F0"/>
    <w:rsid w:val="008B0890"/>
    <w:rsid w:val="008B2CDB"/>
    <w:rsid w:val="008B38B9"/>
    <w:rsid w:val="008B491C"/>
    <w:rsid w:val="008B4D32"/>
    <w:rsid w:val="008B50D1"/>
    <w:rsid w:val="008B5503"/>
    <w:rsid w:val="008B6F55"/>
    <w:rsid w:val="008B7585"/>
    <w:rsid w:val="008B7ACF"/>
    <w:rsid w:val="008C1277"/>
    <w:rsid w:val="008C1939"/>
    <w:rsid w:val="008C225D"/>
    <w:rsid w:val="008C5312"/>
    <w:rsid w:val="008C58D4"/>
    <w:rsid w:val="008C69D8"/>
    <w:rsid w:val="008C6B9E"/>
    <w:rsid w:val="008C6D2A"/>
    <w:rsid w:val="008D0861"/>
    <w:rsid w:val="008D0B12"/>
    <w:rsid w:val="008D0CC9"/>
    <w:rsid w:val="008D0D4E"/>
    <w:rsid w:val="008D0EF5"/>
    <w:rsid w:val="008D1E1E"/>
    <w:rsid w:val="008D2BA7"/>
    <w:rsid w:val="008D356B"/>
    <w:rsid w:val="008D3DF0"/>
    <w:rsid w:val="008D3F9D"/>
    <w:rsid w:val="008D568F"/>
    <w:rsid w:val="008D5F2F"/>
    <w:rsid w:val="008D67E9"/>
    <w:rsid w:val="008D67F1"/>
    <w:rsid w:val="008D6A83"/>
    <w:rsid w:val="008E02DC"/>
    <w:rsid w:val="008E0438"/>
    <w:rsid w:val="008E0BE6"/>
    <w:rsid w:val="008E1308"/>
    <w:rsid w:val="008E234A"/>
    <w:rsid w:val="008E3A01"/>
    <w:rsid w:val="008E3E5C"/>
    <w:rsid w:val="008E40CA"/>
    <w:rsid w:val="008E41B4"/>
    <w:rsid w:val="008E49CE"/>
    <w:rsid w:val="008E5A2B"/>
    <w:rsid w:val="008E63D1"/>
    <w:rsid w:val="008E63DD"/>
    <w:rsid w:val="008E778A"/>
    <w:rsid w:val="008F0286"/>
    <w:rsid w:val="008F08A4"/>
    <w:rsid w:val="008F09E6"/>
    <w:rsid w:val="008F0FC9"/>
    <w:rsid w:val="008F101A"/>
    <w:rsid w:val="008F231F"/>
    <w:rsid w:val="008F2D6E"/>
    <w:rsid w:val="008F3AC5"/>
    <w:rsid w:val="008F40CF"/>
    <w:rsid w:val="008F484B"/>
    <w:rsid w:val="008F52A8"/>
    <w:rsid w:val="008F6C06"/>
    <w:rsid w:val="008F7933"/>
    <w:rsid w:val="008F7D23"/>
    <w:rsid w:val="009001A3"/>
    <w:rsid w:val="009012B3"/>
    <w:rsid w:val="00901537"/>
    <w:rsid w:val="00902CFC"/>
    <w:rsid w:val="00902ED6"/>
    <w:rsid w:val="009054DE"/>
    <w:rsid w:val="00905973"/>
    <w:rsid w:val="009109A6"/>
    <w:rsid w:val="00910B37"/>
    <w:rsid w:val="0091397D"/>
    <w:rsid w:val="00913E0B"/>
    <w:rsid w:val="00913E8C"/>
    <w:rsid w:val="0091519C"/>
    <w:rsid w:val="00915B9F"/>
    <w:rsid w:val="00915D0B"/>
    <w:rsid w:val="00917331"/>
    <w:rsid w:val="0091735E"/>
    <w:rsid w:val="00917549"/>
    <w:rsid w:val="00917563"/>
    <w:rsid w:val="0091786E"/>
    <w:rsid w:val="009221B6"/>
    <w:rsid w:val="00922545"/>
    <w:rsid w:val="00922792"/>
    <w:rsid w:val="00923419"/>
    <w:rsid w:val="00923493"/>
    <w:rsid w:val="009234F9"/>
    <w:rsid w:val="009236C1"/>
    <w:rsid w:val="00923859"/>
    <w:rsid w:val="00923DA4"/>
    <w:rsid w:val="00924229"/>
    <w:rsid w:val="00924C83"/>
    <w:rsid w:val="00926004"/>
    <w:rsid w:val="009265A4"/>
    <w:rsid w:val="00926B12"/>
    <w:rsid w:val="009276FF"/>
    <w:rsid w:val="00927705"/>
    <w:rsid w:val="00930F48"/>
    <w:rsid w:val="0093107D"/>
    <w:rsid w:val="00931A47"/>
    <w:rsid w:val="00931E08"/>
    <w:rsid w:val="0093209D"/>
    <w:rsid w:val="009320AF"/>
    <w:rsid w:val="00932E01"/>
    <w:rsid w:val="00933FEE"/>
    <w:rsid w:val="00935509"/>
    <w:rsid w:val="009358AC"/>
    <w:rsid w:val="00936357"/>
    <w:rsid w:val="00936C69"/>
    <w:rsid w:val="00937E13"/>
    <w:rsid w:val="00940665"/>
    <w:rsid w:val="009407C0"/>
    <w:rsid w:val="0094270D"/>
    <w:rsid w:val="00942C85"/>
    <w:rsid w:val="0094358E"/>
    <w:rsid w:val="00943C93"/>
    <w:rsid w:val="00943F10"/>
    <w:rsid w:val="009444F4"/>
    <w:rsid w:val="0094507D"/>
    <w:rsid w:val="009450A9"/>
    <w:rsid w:val="009450C0"/>
    <w:rsid w:val="009451B3"/>
    <w:rsid w:val="009455BD"/>
    <w:rsid w:val="00945F24"/>
    <w:rsid w:val="00946CA4"/>
    <w:rsid w:val="00946E20"/>
    <w:rsid w:val="0094758C"/>
    <w:rsid w:val="009500BE"/>
    <w:rsid w:val="0095032B"/>
    <w:rsid w:val="00951015"/>
    <w:rsid w:val="00951800"/>
    <w:rsid w:val="00951BF9"/>
    <w:rsid w:val="00951E52"/>
    <w:rsid w:val="00951FE1"/>
    <w:rsid w:val="0095280F"/>
    <w:rsid w:val="00952D8A"/>
    <w:rsid w:val="00953998"/>
    <w:rsid w:val="00953DA4"/>
    <w:rsid w:val="00957D45"/>
    <w:rsid w:val="00960193"/>
    <w:rsid w:val="009604D5"/>
    <w:rsid w:val="009604DA"/>
    <w:rsid w:val="00960567"/>
    <w:rsid w:val="00960C44"/>
    <w:rsid w:val="00960D03"/>
    <w:rsid w:val="00961320"/>
    <w:rsid w:val="009616DB"/>
    <w:rsid w:val="00962AEB"/>
    <w:rsid w:val="00962E7F"/>
    <w:rsid w:val="00962E83"/>
    <w:rsid w:val="0096326C"/>
    <w:rsid w:val="00965811"/>
    <w:rsid w:val="00965C4C"/>
    <w:rsid w:val="009669C7"/>
    <w:rsid w:val="00966ACA"/>
    <w:rsid w:val="00966BB3"/>
    <w:rsid w:val="00967A56"/>
    <w:rsid w:val="0097132C"/>
    <w:rsid w:val="00971727"/>
    <w:rsid w:val="009717EF"/>
    <w:rsid w:val="009718E2"/>
    <w:rsid w:val="00971995"/>
    <w:rsid w:val="00971D88"/>
    <w:rsid w:val="00971FF6"/>
    <w:rsid w:val="00972013"/>
    <w:rsid w:val="00972C89"/>
    <w:rsid w:val="00972EAD"/>
    <w:rsid w:val="00973F5B"/>
    <w:rsid w:val="009742BD"/>
    <w:rsid w:val="0097598B"/>
    <w:rsid w:val="00975B07"/>
    <w:rsid w:val="00976301"/>
    <w:rsid w:val="00976737"/>
    <w:rsid w:val="00976CBC"/>
    <w:rsid w:val="00977540"/>
    <w:rsid w:val="00977842"/>
    <w:rsid w:val="00977D4D"/>
    <w:rsid w:val="00980A36"/>
    <w:rsid w:val="0098125E"/>
    <w:rsid w:val="00981819"/>
    <w:rsid w:val="009821AF"/>
    <w:rsid w:val="0098241D"/>
    <w:rsid w:val="00982A4B"/>
    <w:rsid w:val="009831E4"/>
    <w:rsid w:val="00983445"/>
    <w:rsid w:val="009839AF"/>
    <w:rsid w:val="0098499D"/>
    <w:rsid w:val="0098552A"/>
    <w:rsid w:val="009867D2"/>
    <w:rsid w:val="00986E9F"/>
    <w:rsid w:val="0098711F"/>
    <w:rsid w:val="00987771"/>
    <w:rsid w:val="00987AB9"/>
    <w:rsid w:val="009901CB"/>
    <w:rsid w:val="00990CCB"/>
    <w:rsid w:val="009915D9"/>
    <w:rsid w:val="00991B38"/>
    <w:rsid w:val="009926B8"/>
    <w:rsid w:val="00993AA1"/>
    <w:rsid w:val="00994470"/>
    <w:rsid w:val="009952A1"/>
    <w:rsid w:val="00995323"/>
    <w:rsid w:val="00997448"/>
    <w:rsid w:val="00997761"/>
    <w:rsid w:val="00997810"/>
    <w:rsid w:val="00997921"/>
    <w:rsid w:val="00997A93"/>
    <w:rsid w:val="009A01D7"/>
    <w:rsid w:val="009A2EAE"/>
    <w:rsid w:val="009A3C23"/>
    <w:rsid w:val="009A3F5A"/>
    <w:rsid w:val="009A48D5"/>
    <w:rsid w:val="009A4AC7"/>
    <w:rsid w:val="009A4C79"/>
    <w:rsid w:val="009A5618"/>
    <w:rsid w:val="009A63E7"/>
    <w:rsid w:val="009A66CE"/>
    <w:rsid w:val="009A6A41"/>
    <w:rsid w:val="009A77F2"/>
    <w:rsid w:val="009A77F3"/>
    <w:rsid w:val="009B0D80"/>
    <w:rsid w:val="009B11D6"/>
    <w:rsid w:val="009B2597"/>
    <w:rsid w:val="009B26D3"/>
    <w:rsid w:val="009B3D44"/>
    <w:rsid w:val="009B3E12"/>
    <w:rsid w:val="009B40B4"/>
    <w:rsid w:val="009B4138"/>
    <w:rsid w:val="009B5BE2"/>
    <w:rsid w:val="009B6146"/>
    <w:rsid w:val="009B72AB"/>
    <w:rsid w:val="009B741F"/>
    <w:rsid w:val="009C005D"/>
    <w:rsid w:val="009C0855"/>
    <w:rsid w:val="009C1246"/>
    <w:rsid w:val="009C1E4A"/>
    <w:rsid w:val="009C2518"/>
    <w:rsid w:val="009C26A2"/>
    <w:rsid w:val="009C28EA"/>
    <w:rsid w:val="009C4027"/>
    <w:rsid w:val="009C48EE"/>
    <w:rsid w:val="009C4DFF"/>
    <w:rsid w:val="009C5079"/>
    <w:rsid w:val="009C5276"/>
    <w:rsid w:val="009C69F7"/>
    <w:rsid w:val="009C7168"/>
    <w:rsid w:val="009C72C1"/>
    <w:rsid w:val="009D0FCA"/>
    <w:rsid w:val="009D131A"/>
    <w:rsid w:val="009D1E32"/>
    <w:rsid w:val="009D2D1D"/>
    <w:rsid w:val="009D2F7B"/>
    <w:rsid w:val="009D2FD1"/>
    <w:rsid w:val="009D325E"/>
    <w:rsid w:val="009D343E"/>
    <w:rsid w:val="009D4779"/>
    <w:rsid w:val="009D48FF"/>
    <w:rsid w:val="009D5D53"/>
    <w:rsid w:val="009D5FF0"/>
    <w:rsid w:val="009D6235"/>
    <w:rsid w:val="009D731A"/>
    <w:rsid w:val="009D7340"/>
    <w:rsid w:val="009D7B36"/>
    <w:rsid w:val="009D7EDE"/>
    <w:rsid w:val="009E1F48"/>
    <w:rsid w:val="009E2B71"/>
    <w:rsid w:val="009E2E8F"/>
    <w:rsid w:val="009E3259"/>
    <w:rsid w:val="009E44CE"/>
    <w:rsid w:val="009E594C"/>
    <w:rsid w:val="009E5F41"/>
    <w:rsid w:val="009E60B8"/>
    <w:rsid w:val="009E74CF"/>
    <w:rsid w:val="009F1993"/>
    <w:rsid w:val="009F2211"/>
    <w:rsid w:val="009F3165"/>
    <w:rsid w:val="009F3830"/>
    <w:rsid w:val="009F3E74"/>
    <w:rsid w:val="009F6564"/>
    <w:rsid w:val="009F65BE"/>
    <w:rsid w:val="009F7A25"/>
    <w:rsid w:val="00A006FA"/>
    <w:rsid w:val="00A00E87"/>
    <w:rsid w:val="00A014CE"/>
    <w:rsid w:val="00A01662"/>
    <w:rsid w:val="00A025E9"/>
    <w:rsid w:val="00A02885"/>
    <w:rsid w:val="00A028EE"/>
    <w:rsid w:val="00A069BD"/>
    <w:rsid w:val="00A07C5C"/>
    <w:rsid w:val="00A07EC7"/>
    <w:rsid w:val="00A105D0"/>
    <w:rsid w:val="00A10AE0"/>
    <w:rsid w:val="00A1228B"/>
    <w:rsid w:val="00A138BE"/>
    <w:rsid w:val="00A13930"/>
    <w:rsid w:val="00A13D2B"/>
    <w:rsid w:val="00A14964"/>
    <w:rsid w:val="00A14CC6"/>
    <w:rsid w:val="00A14DDB"/>
    <w:rsid w:val="00A17739"/>
    <w:rsid w:val="00A17D4A"/>
    <w:rsid w:val="00A17FA1"/>
    <w:rsid w:val="00A20892"/>
    <w:rsid w:val="00A20A66"/>
    <w:rsid w:val="00A215C7"/>
    <w:rsid w:val="00A22021"/>
    <w:rsid w:val="00A2273B"/>
    <w:rsid w:val="00A233E0"/>
    <w:rsid w:val="00A237A0"/>
    <w:rsid w:val="00A24858"/>
    <w:rsid w:val="00A24B9F"/>
    <w:rsid w:val="00A24C4D"/>
    <w:rsid w:val="00A24EFD"/>
    <w:rsid w:val="00A24F8D"/>
    <w:rsid w:val="00A2532B"/>
    <w:rsid w:val="00A253EE"/>
    <w:rsid w:val="00A25DD7"/>
    <w:rsid w:val="00A26DB3"/>
    <w:rsid w:val="00A278CF"/>
    <w:rsid w:val="00A30131"/>
    <w:rsid w:val="00A3067B"/>
    <w:rsid w:val="00A3067F"/>
    <w:rsid w:val="00A30902"/>
    <w:rsid w:val="00A31C04"/>
    <w:rsid w:val="00A3267A"/>
    <w:rsid w:val="00A33254"/>
    <w:rsid w:val="00A354FE"/>
    <w:rsid w:val="00A40216"/>
    <w:rsid w:val="00A4090D"/>
    <w:rsid w:val="00A426A4"/>
    <w:rsid w:val="00A44FF5"/>
    <w:rsid w:val="00A4657F"/>
    <w:rsid w:val="00A4695A"/>
    <w:rsid w:val="00A51A81"/>
    <w:rsid w:val="00A523DF"/>
    <w:rsid w:val="00A52A7D"/>
    <w:rsid w:val="00A53692"/>
    <w:rsid w:val="00A53FD3"/>
    <w:rsid w:val="00A5590F"/>
    <w:rsid w:val="00A5597F"/>
    <w:rsid w:val="00A5651E"/>
    <w:rsid w:val="00A56532"/>
    <w:rsid w:val="00A56FEB"/>
    <w:rsid w:val="00A606B6"/>
    <w:rsid w:val="00A60C6D"/>
    <w:rsid w:val="00A619A4"/>
    <w:rsid w:val="00A62A42"/>
    <w:rsid w:val="00A63190"/>
    <w:rsid w:val="00A64DDA"/>
    <w:rsid w:val="00A667F3"/>
    <w:rsid w:val="00A66929"/>
    <w:rsid w:val="00A66B0B"/>
    <w:rsid w:val="00A66E7C"/>
    <w:rsid w:val="00A7071C"/>
    <w:rsid w:val="00A719B8"/>
    <w:rsid w:val="00A71F79"/>
    <w:rsid w:val="00A720D9"/>
    <w:rsid w:val="00A72767"/>
    <w:rsid w:val="00A72E4C"/>
    <w:rsid w:val="00A73247"/>
    <w:rsid w:val="00A73DB2"/>
    <w:rsid w:val="00A740D1"/>
    <w:rsid w:val="00A74414"/>
    <w:rsid w:val="00A747AE"/>
    <w:rsid w:val="00A751B7"/>
    <w:rsid w:val="00A76C19"/>
    <w:rsid w:val="00A804E3"/>
    <w:rsid w:val="00A8062E"/>
    <w:rsid w:val="00A8075D"/>
    <w:rsid w:val="00A81C68"/>
    <w:rsid w:val="00A81D85"/>
    <w:rsid w:val="00A82102"/>
    <w:rsid w:val="00A8221D"/>
    <w:rsid w:val="00A8225D"/>
    <w:rsid w:val="00A82FD7"/>
    <w:rsid w:val="00A8311C"/>
    <w:rsid w:val="00A832EC"/>
    <w:rsid w:val="00A84E62"/>
    <w:rsid w:val="00A851CE"/>
    <w:rsid w:val="00A859C9"/>
    <w:rsid w:val="00A86864"/>
    <w:rsid w:val="00A878AD"/>
    <w:rsid w:val="00A87CF2"/>
    <w:rsid w:val="00A90D7D"/>
    <w:rsid w:val="00A90E51"/>
    <w:rsid w:val="00A910A4"/>
    <w:rsid w:val="00A9170D"/>
    <w:rsid w:val="00A920A1"/>
    <w:rsid w:val="00A92142"/>
    <w:rsid w:val="00A92BC2"/>
    <w:rsid w:val="00A93096"/>
    <w:rsid w:val="00A93E68"/>
    <w:rsid w:val="00A94365"/>
    <w:rsid w:val="00A95467"/>
    <w:rsid w:val="00A9638B"/>
    <w:rsid w:val="00A97E92"/>
    <w:rsid w:val="00AA126F"/>
    <w:rsid w:val="00AA345C"/>
    <w:rsid w:val="00AA3941"/>
    <w:rsid w:val="00AA4998"/>
    <w:rsid w:val="00AA4B4C"/>
    <w:rsid w:val="00AA6286"/>
    <w:rsid w:val="00AA7A45"/>
    <w:rsid w:val="00AB0A10"/>
    <w:rsid w:val="00AB190B"/>
    <w:rsid w:val="00AB1BDF"/>
    <w:rsid w:val="00AB1E8B"/>
    <w:rsid w:val="00AB298C"/>
    <w:rsid w:val="00AB3945"/>
    <w:rsid w:val="00AB421B"/>
    <w:rsid w:val="00AB44D7"/>
    <w:rsid w:val="00AB45AF"/>
    <w:rsid w:val="00AB47ED"/>
    <w:rsid w:val="00AB5C19"/>
    <w:rsid w:val="00AB5F44"/>
    <w:rsid w:val="00AB7339"/>
    <w:rsid w:val="00AB7FF3"/>
    <w:rsid w:val="00AC0376"/>
    <w:rsid w:val="00AC0B23"/>
    <w:rsid w:val="00AC0E32"/>
    <w:rsid w:val="00AC174E"/>
    <w:rsid w:val="00AC1A00"/>
    <w:rsid w:val="00AC1CDA"/>
    <w:rsid w:val="00AC1E0F"/>
    <w:rsid w:val="00AC276D"/>
    <w:rsid w:val="00AC31C8"/>
    <w:rsid w:val="00AC37DF"/>
    <w:rsid w:val="00AC44E1"/>
    <w:rsid w:val="00AC473E"/>
    <w:rsid w:val="00AC4A40"/>
    <w:rsid w:val="00AC5AAD"/>
    <w:rsid w:val="00AC64D1"/>
    <w:rsid w:val="00AC6A41"/>
    <w:rsid w:val="00AC6EF3"/>
    <w:rsid w:val="00AC6FB1"/>
    <w:rsid w:val="00AC7739"/>
    <w:rsid w:val="00AC7AA3"/>
    <w:rsid w:val="00AD13B9"/>
    <w:rsid w:val="00AD1FCE"/>
    <w:rsid w:val="00AD250B"/>
    <w:rsid w:val="00AD2D3C"/>
    <w:rsid w:val="00AD2EDD"/>
    <w:rsid w:val="00AD30E7"/>
    <w:rsid w:val="00AD31F0"/>
    <w:rsid w:val="00AD47A9"/>
    <w:rsid w:val="00AD5264"/>
    <w:rsid w:val="00AD5D57"/>
    <w:rsid w:val="00AD624D"/>
    <w:rsid w:val="00AD6544"/>
    <w:rsid w:val="00AD6F1D"/>
    <w:rsid w:val="00AE03EF"/>
    <w:rsid w:val="00AE0F30"/>
    <w:rsid w:val="00AE0FB8"/>
    <w:rsid w:val="00AE1C2A"/>
    <w:rsid w:val="00AE1E72"/>
    <w:rsid w:val="00AE22EC"/>
    <w:rsid w:val="00AE2895"/>
    <w:rsid w:val="00AE6241"/>
    <w:rsid w:val="00AE6955"/>
    <w:rsid w:val="00AE725C"/>
    <w:rsid w:val="00AE74A1"/>
    <w:rsid w:val="00AE776E"/>
    <w:rsid w:val="00AF037D"/>
    <w:rsid w:val="00AF0397"/>
    <w:rsid w:val="00AF0A5E"/>
    <w:rsid w:val="00AF1F30"/>
    <w:rsid w:val="00AF2FB0"/>
    <w:rsid w:val="00AF2FF8"/>
    <w:rsid w:val="00AF3DDB"/>
    <w:rsid w:val="00AF5D33"/>
    <w:rsid w:val="00AF6543"/>
    <w:rsid w:val="00AF67D6"/>
    <w:rsid w:val="00AF7319"/>
    <w:rsid w:val="00B00264"/>
    <w:rsid w:val="00B0059A"/>
    <w:rsid w:val="00B007C7"/>
    <w:rsid w:val="00B0118F"/>
    <w:rsid w:val="00B01BE4"/>
    <w:rsid w:val="00B01E90"/>
    <w:rsid w:val="00B026F5"/>
    <w:rsid w:val="00B029E2"/>
    <w:rsid w:val="00B02B8C"/>
    <w:rsid w:val="00B03631"/>
    <w:rsid w:val="00B038B0"/>
    <w:rsid w:val="00B049D3"/>
    <w:rsid w:val="00B05317"/>
    <w:rsid w:val="00B05F9B"/>
    <w:rsid w:val="00B06226"/>
    <w:rsid w:val="00B068CF"/>
    <w:rsid w:val="00B06A2D"/>
    <w:rsid w:val="00B06FD5"/>
    <w:rsid w:val="00B07652"/>
    <w:rsid w:val="00B07BDE"/>
    <w:rsid w:val="00B07D04"/>
    <w:rsid w:val="00B11118"/>
    <w:rsid w:val="00B11CEA"/>
    <w:rsid w:val="00B1297B"/>
    <w:rsid w:val="00B12D9D"/>
    <w:rsid w:val="00B13416"/>
    <w:rsid w:val="00B15087"/>
    <w:rsid w:val="00B151D6"/>
    <w:rsid w:val="00B1751A"/>
    <w:rsid w:val="00B21218"/>
    <w:rsid w:val="00B21974"/>
    <w:rsid w:val="00B21D25"/>
    <w:rsid w:val="00B224A1"/>
    <w:rsid w:val="00B22EF8"/>
    <w:rsid w:val="00B23840"/>
    <w:rsid w:val="00B244C6"/>
    <w:rsid w:val="00B24734"/>
    <w:rsid w:val="00B25A21"/>
    <w:rsid w:val="00B260FA"/>
    <w:rsid w:val="00B26283"/>
    <w:rsid w:val="00B26B9F"/>
    <w:rsid w:val="00B2715B"/>
    <w:rsid w:val="00B27955"/>
    <w:rsid w:val="00B30599"/>
    <w:rsid w:val="00B30926"/>
    <w:rsid w:val="00B31256"/>
    <w:rsid w:val="00B31468"/>
    <w:rsid w:val="00B316F7"/>
    <w:rsid w:val="00B31F0F"/>
    <w:rsid w:val="00B328F3"/>
    <w:rsid w:val="00B32E9B"/>
    <w:rsid w:val="00B336C3"/>
    <w:rsid w:val="00B3376E"/>
    <w:rsid w:val="00B33872"/>
    <w:rsid w:val="00B340F5"/>
    <w:rsid w:val="00B341E0"/>
    <w:rsid w:val="00B34DB2"/>
    <w:rsid w:val="00B361D0"/>
    <w:rsid w:val="00B36B20"/>
    <w:rsid w:val="00B37092"/>
    <w:rsid w:val="00B41E72"/>
    <w:rsid w:val="00B43BA0"/>
    <w:rsid w:val="00B445E1"/>
    <w:rsid w:val="00B45744"/>
    <w:rsid w:val="00B463C8"/>
    <w:rsid w:val="00B46F15"/>
    <w:rsid w:val="00B47379"/>
    <w:rsid w:val="00B47382"/>
    <w:rsid w:val="00B473E1"/>
    <w:rsid w:val="00B47507"/>
    <w:rsid w:val="00B47DDC"/>
    <w:rsid w:val="00B500FA"/>
    <w:rsid w:val="00B506F1"/>
    <w:rsid w:val="00B50A59"/>
    <w:rsid w:val="00B50B89"/>
    <w:rsid w:val="00B5185B"/>
    <w:rsid w:val="00B52AD9"/>
    <w:rsid w:val="00B5435C"/>
    <w:rsid w:val="00B5537B"/>
    <w:rsid w:val="00B5538A"/>
    <w:rsid w:val="00B56882"/>
    <w:rsid w:val="00B579B6"/>
    <w:rsid w:val="00B57B0E"/>
    <w:rsid w:val="00B626C1"/>
    <w:rsid w:val="00B6340B"/>
    <w:rsid w:val="00B63566"/>
    <w:rsid w:val="00B64049"/>
    <w:rsid w:val="00B644DE"/>
    <w:rsid w:val="00B64A3C"/>
    <w:rsid w:val="00B653FF"/>
    <w:rsid w:val="00B656E8"/>
    <w:rsid w:val="00B670B3"/>
    <w:rsid w:val="00B67EBB"/>
    <w:rsid w:val="00B7043D"/>
    <w:rsid w:val="00B70BB6"/>
    <w:rsid w:val="00B73198"/>
    <w:rsid w:val="00B73243"/>
    <w:rsid w:val="00B7325D"/>
    <w:rsid w:val="00B73B61"/>
    <w:rsid w:val="00B74F90"/>
    <w:rsid w:val="00B7647F"/>
    <w:rsid w:val="00B76845"/>
    <w:rsid w:val="00B77C5B"/>
    <w:rsid w:val="00B804A7"/>
    <w:rsid w:val="00B805BD"/>
    <w:rsid w:val="00B80653"/>
    <w:rsid w:val="00B808C6"/>
    <w:rsid w:val="00B80A06"/>
    <w:rsid w:val="00B80BA0"/>
    <w:rsid w:val="00B81BC5"/>
    <w:rsid w:val="00B82883"/>
    <w:rsid w:val="00B83105"/>
    <w:rsid w:val="00B83487"/>
    <w:rsid w:val="00B83F3C"/>
    <w:rsid w:val="00B84B2D"/>
    <w:rsid w:val="00B85BF9"/>
    <w:rsid w:val="00B85EB6"/>
    <w:rsid w:val="00B860F6"/>
    <w:rsid w:val="00B86124"/>
    <w:rsid w:val="00B8620D"/>
    <w:rsid w:val="00B86630"/>
    <w:rsid w:val="00B86BBC"/>
    <w:rsid w:val="00B8788F"/>
    <w:rsid w:val="00B87EEB"/>
    <w:rsid w:val="00B9047A"/>
    <w:rsid w:val="00B905C4"/>
    <w:rsid w:val="00B918BA"/>
    <w:rsid w:val="00B91ABE"/>
    <w:rsid w:val="00B91F84"/>
    <w:rsid w:val="00B92212"/>
    <w:rsid w:val="00B9274A"/>
    <w:rsid w:val="00B9308D"/>
    <w:rsid w:val="00B93723"/>
    <w:rsid w:val="00B947E4"/>
    <w:rsid w:val="00B95567"/>
    <w:rsid w:val="00B96170"/>
    <w:rsid w:val="00B962E2"/>
    <w:rsid w:val="00B971EF"/>
    <w:rsid w:val="00BA0981"/>
    <w:rsid w:val="00BA0F54"/>
    <w:rsid w:val="00BA16D5"/>
    <w:rsid w:val="00BA1B72"/>
    <w:rsid w:val="00BA1FDF"/>
    <w:rsid w:val="00BA304B"/>
    <w:rsid w:val="00BA3289"/>
    <w:rsid w:val="00BA4F87"/>
    <w:rsid w:val="00BA50EF"/>
    <w:rsid w:val="00BA603F"/>
    <w:rsid w:val="00BA69C8"/>
    <w:rsid w:val="00BA6ECF"/>
    <w:rsid w:val="00BA7715"/>
    <w:rsid w:val="00BB135C"/>
    <w:rsid w:val="00BB27C0"/>
    <w:rsid w:val="00BB292E"/>
    <w:rsid w:val="00BB32D0"/>
    <w:rsid w:val="00BB548C"/>
    <w:rsid w:val="00BB6682"/>
    <w:rsid w:val="00BB75DC"/>
    <w:rsid w:val="00BB7730"/>
    <w:rsid w:val="00BC044C"/>
    <w:rsid w:val="00BC0585"/>
    <w:rsid w:val="00BC06D7"/>
    <w:rsid w:val="00BC260C"/>
    <w:rsid w:val="00BC2EC8"/>
    <w:rsid w:val="00BC4D4C"/>
    <w:rsid w:val="00BC5A1E"/>
    <w:rsid w:val="00BC6B09"/>
    <w:rsid w:val="00BC6EE0"/>
    <w:rsid w:val="00BC7CE3"/>
    <w:rsid w:val="00BD04E6"/>
    <w:rsid w:val="00BD1173"/>
    <w:rsid w:val="00BD1CFE"/>
    <w:rsid w:val="00BD295B"/>
    <w:rsid w:val="00BD2A55"/>
    <w:rsid w:val="00BD3853"/>
    <w:rsid w:val="00BD4B9C"/>
    <w:rsid w:val="00BD6BE3"/>
    <w:rsid w:val="00BD6BFC"/>
    <w:rsid w:val="00BE0123"/>
    <w:rsid w:val="00BE0E59"/>
    <w:rsid w:val="00BE14A9"/>
    <w:rsid w:val="00BE19EA"/>
    <w:rsid w:val="00BE3884"/>
    <w:rsid w:val="00BE3DBD"/>
    <w:rsid w:val="00BE4973"/>
    <w:rsid w:val="00BE4F8D"/>
    <w:rsid w:val="00BE58E9"/>
    <w:rsid w:val="00BE608E"/>
    <w:rsid w:val="00BE649A"/>
    <w:rsid w:val="00BE7515"/>
    <w:rsid w:val="00BF0D8F"/>
    <w:rsid w:val="00BF27B7"/>
    <w:rsid w:val="00BF2BD5"/>
    <w:rsid w:val="00BF2C71"/>
    <w:rsid w:val="00BF301D"/>
    <w:rsid w:val="00BF4516"/>
    <w:rsid w:val="00BF4A87"/>
    <w:rsid w:val="00BF4D94"/>
    <w:rsid w:val="00BF586D"/>
    <w:rsid w:val="00BF5E18"/>
    <w:rsid w:val="00BF621A"/>
    <w:rsid w:val="00BF65A1"/>
    <w:rsid w:val="00BF6CD7"/>
    <w:rsid w:val="00BF70EB"/>
    <w:rsid w:val="00C01BDB"/>
    <w:rsid w:val="00C01C6E"/>
    <w:rsid w:val="00C02947"/>
    <w:rsid w:val="00C02C56"/>
    <w:rsid w:val="00C0301E"/>
    <w:rsid w:val="00C0405B"/>
    <w:rsid w:val="00C0474C"/>
    <w:rsid w:val="00C04967"/>
    <w:rsid w:val="00C04F09"/>
    <w:rsid w:val="00C070B9"/>
    <w:rsid w:val="00C1106E"/>
    <w:rsid w:val="00C120CF"/>
    <w:rsid w:val="00C13852"/>
    <w:rsid w:val="00C13B12"/>
    <w:rsid w:val="00C143CA"/>
    <w:rsid w:val="00C14501"/>
    <w:rsid w:val="00C14C10"/>
    <w:rsid w:val="00C1509A"/>
    <w:rsid w:val="00C157B1"/>
    <w:rsid w:val="00C161F8"/>
    <w:rsid w:val="00C171BB"/>
    <w:rsid w:val="00C17920"/>
    <w:rsid w:val="00C179DF"/>
    <w:rsid w:val="00C17A6F"/>
    <w:rsid w:val="00C17FC1"/>
    <w:rsid w:val="00C21AC0"/>
    <w:rsid w:val="00C21C97"/>
    <w:rsid w:val="00C21CBC"/>
    <w:rsid w:val="00C21EE1"/>
    <w:rsid w:val="00C22AB1"/>
    <w:rsid w:val="00C23AA0"/>
    <w:rsid w:val="00C243E7"/>
    <w:rsid w:val="00C24426"/>
    <w:rsid w:val="00C250A1"/>
    <w:rsid w:val="00C2519E"/>
    <w:rsid w:val="00C263D3"/>
    <w:rsid w:val="00C26774"/>
    <w:rsid w:val="00C268BA"/>
    <w:rsid w:val="00C26FCB"/>
    <w:rsid w:val="00C300AC"/>
    <w:rsid w:val="00C309B1"/>
    <w:rsid w:val="00C310D8"/>
    <w:rsid w:val="00C312B1"/>
    <w:rsid w:val="00C31969"/>
    <w:rsid w:val="00C3204A"/>
    <w:rsid w:val="00C32543"/>
    <w:rsid w:val="00C330A4"/>
    <w:rsid w:val="00C332FB"/>
    <w:rsid w:val="00C33A01"/>
    <w:rsid w:val="00C33CDB"/>
    <w:rsid w:val="00C3430A"/>
    <w:rsid w:val="00C34558"/>
    <w:rsid w:val="00C34B65"/>
    <w:rsid w:val="00C3502D"/>
    <w:rsid w:val="00C37784"/>
    <w:rsid w:val="00C4036D"/>
    <w:rsid w:val="00C413FB"/>
    <w:rsid w:val="00C41C75"/>
    <w:rsid w:val="00C421E4"/>
    <w:rsid w:val="00C4281F"/>
    <w:rsid w:val="00C42C82"/>
    <w:rsid w:val="00C42D57"/>
    <w:rsid w:val="00C44FCF"/>
    <w:rsid w:val="00C45214"/>
    <w:rsid w:val="00C469C4"/>
    <w:rsid w:val="00C470D9"/>
    <w:rsid w:val="00C47A89"/>
    <w:rsid w:val="00C47BAA"/>
    <w:rsid w:val="00C47EB1"/>
    <w:rsid w:val="00C51D28"/>
    <w:rsid w:val="00C51EF4"/>
    <w:rsid w:val="00C51FE1"/>
    <w:rsid w:val="00C52210"/>
    <w:rsid w:val="00C5269A"/>
    <w:rsid w:val="00C526BD"/>
    <w:rsid w:val="00C53454"/>
    <w:rsid w:val="00C53C7D"/>
    <w:rsid w:val="00C55634"/>
    <w:rsid w:val="00C56FA3"/>
    <w:rsid w:val="00C57B0E"/>
    <w:rsid w:val="00C6049E"/>
    <w:rsid w:val="00C608A2"/>
    <w:rsid w:val="00C61D8C"/>
    <w:rsid w:val="00C61E78"/>
    <w:rsid w:val="00C61F51"/>
    <w:rsid w:val="00C62A1F"/>
    <w:rsid w:val="00C6403F"/>
    <w:rsid w:val="00C64C6E"/>
    <w:rsid w:val="00C6519C"/>
    <w:rsid w:val="00C65721"/>
    <w:rsid w:val="00C671CB"/>
    <w:rsid w:val="00C677D4"/>
    <w:rsid w:val="00C67C7E"/>
    <w:rsid w:val="00C67F2A"/>
    <w:rsid w:val="00C67F69"/>
    <w:rsid w:val="00C67FCD"/>
    <w:rsid w:val="00C70244"/>
    <w:rsid w:val="00C70307"/>
    <w:rsid w:val="00C703BD"/>
    <w:rsid w:val="00C704A5"/>
    <w:rsid w:val="00C70E39"/>
    <w:rsid w:val="00C718BC"/>
    <w:rsid w:val="00C72A90"/>
    <w:rsid w:val="00C73534"/>
    <w:rsid w:val="00C75734"/>
    <w:rsid w:val="00C7684A"/>
    <w:rsid w:val="00C774E6"/>
    <w:rsid w:val="00C77543"/>
    <w:rsid w:val="00C778CD"/>
    <w:rsid w:val="00C806F7"/>
    <w:rsid w:val="00C80896"/>
    <w:rsid w:val="00C80D03"/>
    <w:rsid w:val="00C841C8"/>
    <w:rsid w:val="00C842CB"/>
    <w:rsid w:val="00C847FF"/>
    <w:rsid w:val="00C84A98"/>
    <w:rsid w:val="00C856CC"/>
    <w:rsid w:val="00C856D1"/>
    <w:rsid w:val="00C86242"/>
    <w:rsid w:val="00C86887"/>
    <w:rsid w:val="00C86C12"/>
    <w:rsid w:val="00C917A1"/>
    <w:rsid w:val="00C91EBC"/>
    <w:rsid w:val="00C920D4"/>
    <w:rsid w:val="00C9220D"/>
    <w:rsid w:val="00C92422"/>
    <w:rsid w:val="00C92777"/>
    <w:rsid w:val="00C92BA1"/>
    <w:rsid w:val="00C936C8"/>
    <w:rsid w:val="00C94A71"/>
    <w:rsid w:val="00C95BFB"/>
    <w:rsid w:val="00C96323"/>
    <w:rsid w:val="00C971B8"/>
    <w:rsid w:val="00CA0D35"/>
    <w:rsid w:val="00CA0D74"/>
    <w:rsid w:val="00CA14FD"/>
    <w:rsid w:val="00CA1618"/>
    <w:rsid w:val="00CA1933"/>
    <w:rsid w:val="00CA2CE1"/>
    <w:rsid w:val="00CA35CD"/>
    <w:rsid w:val="00CA3618"/>
    <w:rsid w:val="00CA3B4E"/>
    <w:rsid w:val="00CA469E"/>
    <w:rsid w:val="00CA4B91"/>
    <w:rsid w:val="00CA5B80"/>
    <w:rsid w:val="00CA5E57"/>
    <w:rsid w:val="00CA6819"/>
    <w:rsid w:val="00CA68A3"/>
    <w:rsid w:val="00CA6EA5"/>
    <w:rsid w:val="00CA6FD9"/>
    <w:rsid w:val="00CA7BB0"/>
    <w:rsid w:val="00CB0824"/>
    <w:rsid w:val="00CB13E7"/>
    <w:rsid w:val="00CB1800"/>
    <w:rsid w:val="00CB32B5"/>
    <w:rsid w:val="00CB3428"/>
    <w:rsid w:val="00CB4535"/>
    <w:rsid w:val="00CB520B"/>
    <w:rsid w:val="00CB531C"/>
    <w:rsid w:val="00CB60E2"/>
    <w:rsid w:val="00CB616B"/>
    <w:rsid w:val="00CB6578"/>
    <w:rsid w:val="00CB6E33"/>
    <w:rsid w:val="00CB76A4"/>
    <w:rsid w:val="00CC1605"/>
    <w:rsid w:val="00CC16DE"/>
    <w:rsid w:val="00CC1D48"/>
    <w:rsid w:val="00CC2333"/>
    <w:rsid w:val="00CC2514"/>
    <w:rsid w:val="00CC25E3"/>
    <w:rsid w:val="00CC2D05"/>
    <w:rsid w:val="00CC309E"/>
    <w:rsid w:val="00CC35C5"/>
    <w:rsid w:val="00CC37A8"/>
    <w:rsid w:val="00CC421D"/>
    <w:rsid w:val="00CC5A1F"/>
    <w:rsid w:val="00CC5AE9"/>
    <w:rsid w:val="00CC645E"/>
    <w:rsid w:val="00CC64DB"/>
    <w:rsid w:val="00CC6709"/>
    <w:rsid w:val="00CC6C03"/>
    <w:rsid w:val="00CC70DE"/>
    <w:rsid w:val="00CD1168"/>
    <w:rsid w:val="00CD1F47"/>
    <w:rsid w:val="00CD2012"/>
    <w:rsid w:val="00CD2070"/>
    <w:rsid w:val="00CD23CD"/>
    <w:rsid w:val="00CD2869"/>
    <w:rsid w:val="00CD2EED"/>
    <w:rsid w:val="00CD3187"/>
    <w:rsid w:val="00CD4611"/>
    <w:rsid w:val="00CD5060"/>
    <w:rsid w:val="00CD5525"/>
    <w:rsid w:val="00CD5746"/>
    <w:rsid w:val="00CD5984"/>
    <w:rsid w:val="00CD5EDB"/>
    <w:rsid w:val="00CD647F"/>
    <w:rsid w:val="00CD6C42"/>
    <w:rsid w:val="00CD6DE1"/>
    <w:rsid w:val="00CD6E22"/>
    <w:rsid w:val="00CD7723"/>
    <w:rsid w:val="00CE03E9"/>
    <w:rsid w:val="00CE080F"/>
    <w:rsid w:val="00CE0B08"/>
    <w:rsid w:val="00CE0D8D"/>
    <w:rsid w:val="00CE0EE5"/>
    <w:rsid w:val="00CE1D93"/>
    <w:rsid w:val="00CE337E"/>
    <w:rsid w:val="00CE376C"/>
    <w:rsid w:val="00CE4083"/>
    <w:rsid w:val="00CE42DA"/>
    <w:rsid w:val="00CE4570"/>
    <w:rsid w:val="00CE4C73"/>
    <w:rsid w:val="00CE4C86"/>
    <w:rsid w:val="00CE6781"/>
    <w:rsid w:val="00CE6A00"/>
    <w:rsid w:val="00CE6B44"/>
    <w:rsid w:val="00CE764B"/>
    <w:rsid w:val="00CF099B"/>
    <w:rsid w:val="00CF16CF"/>
    <w:rsid w:val="00CF1B3B"/>
    <w:rsid w:val="00CF2967"/>
    <w:rsid w:val="00CF3244"/>
    <w:rsid w:val="00CF39E9"/>
    <w:rsid w:val="00CF4B55"/>
    <w:rsid w:val="00CF4B5A"/>
    <w:rsid w:val="00CF4DF6"/>
    <w:rsid w:val="00CF4FB9"/>
    <w:rsid w:val="00CF58D3"/>
    <w:rsid w:val="00CF5E2E"/>
    <w:rsid w:val="00CF66EE"/>
    <w:rsid w:val="00CF680A"/>
    <w:rsid w:val="00CF7477"/>
    <w:rsid w:val="00CF7B90"/>
    <w:rsid w:val="00D0363B"/>
    <w:rsid w:val="00D03C40"/>
    <w:rsid w:val="00D03E9B"/>
    <w:rsid w:val="00D042A3"/>
    <w:rsid w:val="00D0569F"/>
    <w:rsid w:val="00D05A07"/>
    <w:rsid w:val="00D06F18"/>
    <w:rsid w:val="00D07013"/>
    <w:rsid w:val="00D0767F"/>
    <w:rsid w:val="00D07771"/>
    <w:rsid w:val="00D13129"/>
    <w:rsid w:val="00D1316F"/>
    <w:rsid w:val="00D131CA"/>
    <w:rsid w:val="00D13A70"/>
    <w:rsid w:val="00D13AAF"/>
    <w:rsid w:val="00D144D9"/>
    <w:rsid w:val="00D170F7"/>
    <w:rsid w:val="00D17479"/>
    <w:rsid w:val="00D2095D"/>
    <w:rsid w:val="00D20CFF"/>
    <w:rsid w:val="00D21330"/>
    <w:rsid w:val="00D2143B"/>
    <w:rsid w:val="00D2212A"/>
    <w:rsid w:val="00D2322E"/>
    <w:rsid w:val="00D27883"/>
    <w:rsid w:val="00D303BB"/>
    <w:rsid w:val="00D3050C"/>
    <w:rsid w:val="00D30AB7"/>
    <w:rsid w:val="00D31BED"/>
    <w:rsid w:val="00D31CDB"/>
    <w:rsid w:val="00D33161"/>
    <w:rsid w:val="00D33956"/>
    <w:rsid w:val="00D33ACF"/>
    <w:rsid w:val="00D34A37"/>
    <w:rsid w:val="00D35127"/>
    <w:rsid w:val="00D351E1"/>
    <w:rsid w:val="00D36F3C"/>
    <w:rsid w:val="00D373C5"/>
    <w:rsid w:val="00D37639"/>
    <w:rsid w:val="00D37804"/>
    <w:rsid w:val="00D37819"/>
    <w:rsid w:val="00D37911"/>
    <w:rsid w:val="00D37ABF"/>
    <w:rsid w:val="00D40952"/>
    <w:rsid w:val="00D40CF0"/>
    <w:rsid w:val="00D40DA5"/>
    <w:rsid w:val="00D4126F"/>
    <w:rsid w:val="00D41871"/>
    <w:rsid w:val="00D419A6"/>
    <w:rsid w:val="00D41AC7"/>
    <w:rsid w:val="00D427A7"/>
    <w:rsid w:val="00D43A17"/>
    <w:rsid w:val="00D43C20"/>
    <w:rsid w:val="00D44D39"/>
    <w:rsid w:val="00D44F56"/>
    <w:rsid w:val="00D45598"/>
    <w:rsid w:val="00D468BC"/>
    <w:rsid w:val="00D4740B"/>
    <w:rsid w:val="00D47A06"/>
    <w:rsid w:val="00D5011E"/>
    <w:rsid w:val="00D5056C"/>
    <w:rsid w:val="00D51306"/>
    <w:rsid w:val="00D515C3"/>
    <w:rsid w:val="00D532AF"/>
    <w:rsid w:val="00D53746"/>
    <w:rsid w:val="00D53E80"/>
    <w:rsid w:val="00D5623A"/>
    <w:rsid w:val="00D5642D"/>
    <w:rsid w:val="00D568AD"/>
    <w:rsid w:val="00D56E21"/>
    <w:rsid w:val="00D575C5"/>
    <w:rsid w:val="00D577B0"/>
    <w:rsid w:val="00D57D17"/>
    <w:rsid w:val="00D600A7"/>
    <w:rsid w:val="00D60808"/>
    <w:rsid w:val="00D60E8C"/>
    <w:rsid w:val="00D61245"/>
    <w:rsid w:val="00D629D5"/>
    <w:rsid w:val="00D6322D"/>
    <w:rsid w:val="00D64800"/>
    <w:rsid w:val="00D66E8E"/>
    <w:rsid w:val="00D6731E"/>
    <w:rsid w:val="00D675EC"/>
    <w:rsid w:val="00D67813"/>
    <w:rsid w:val="00D67A37"/>
    <w:rsid w:val="00D7023A"/>
    <w:rsid w:val="00D7074A"/>
    <w:rsid w:val="00D70898"/>
    <w:rsid w:val="00D70A44"/>
    <w:rsid w:val="00D70DEF"/>
    <w:rsid w:val="00D719E7"/>
    <w:rsid w:val="00D729C7"/>
    <w:rsid w:val="00D739A2"/>
    <w:rsid w:val="00D7426E"/>
    <w:rsid w:val="00D7473F"/>
    <w:rsid w:val="00D748BE"/>
    <w:rsid w:val="00D7490F"/>
    <w:rsid w:val="00D74F32"/>
    <w:rsid w:val="00D75041"/>
    <w:rsid w:val="00D75D9D"/>
    <w:rsid w:val="00D76C99"/>
    <w:rsid w:val="00D76D0D"/>
    <w:rsid w:val="00D800AC"/>
    <w:rsid w:val="00D806F2"/>
    <w:rsid w:val="00D81122"/>
    <w:rsid w:val="00D8152D"/>
    <w:rsid w:val="00D819C0"/>
    <w:rsid w:val="00D81C39"/>
    <w:rsid w:val="00D81D3A"/>
    <w:rsid w:val="00D825C1"/>
    <w:rsid w:val="00D836AB"/>
    <w:rsid w:val="00D83D08"/>
    <w:rsid w:val="00D84A3D"/>
    <w:rsid w:val="00D84D26"/>
    <w:rsid w:val="00D8720A"/>
    <w:rsid w:val="00D8736A"/>
    <w:rsid w:val="00D877AC"/>
    <w:rsid w:val="00D87A0D"/>
    <w:rsid w:val="00D87F07"/>
    <w:rsid w:val="00D90433"/>
    <w:rsid w:val="00D90ABF"/>
    <w:rsid w:val="00D90C34"/>
    <w:rsid w:val="00D90ED9"/>
    <w:rsid w:val="00D924B3"/>
    <w:rsid w:val="00D945AE"/>
    <w:rsid w:val="00D94D39"/>
    <w:rsid w:val="00D9557C"/>
    <w:rsid w:val="00D95581"/>
    <w:rsid w:val="00D956F2"/>
    <w:rsid w:val="00D96160"/>
    <w:rsid w:val="00D963A4"/>
    <w:rsid w:val="00D965CB"/>
    <w:rsid w:val="00D96DD3"/>
    <w:rsid w:val="00D976BF"/>
    <w:rsid w:val="00DA0022"/>
    <w:rsid w:val="00DA1589"/>
    <w:rsid w:val="00DA2686"/>
    <w:rsid w:val="00DA3A08"/>
    <w:rsid w:val="00DA416C"/>
    <w:rsid w:val="00DA4DAE"/>
    <w:rsid w:val="00DA6BFD"/>
    <w:rsid w:val="00DA7044"/>
    <w:rsid w:val="00DA77DA"/>
    <w:rsid w:val="00DA7A7D"/>
    <w:rsid w:val="00DB0737"/>
    <w:rsid w:val="00DB0FCF"/>
    <w:rsid w:val="00DB117E"/>
    <w:rsid w:val="00DB2635"/>
    <w:rsid w:val="00DB3303"/>
    <w:rsid w:val="00DB4873"/>
    <w:rsid w:val="00DB4D43"/>
    <w:rsid w:val="00DB570E"/>
    <w:rsid w:val="00DB5E63"/>
    <w:rsid w:val="00DB61BB"/>
    <w:rsid w:val="00DB6CE9"/>
    <w:rsid w:val="00DB788D"/>
    <w:rsid w:val="00DB7938"/>
    <w:rsid w:val="00DB7A39"/>
    <w:rsid w:val="00DB7D64"/>
    <w:rsid w:val="00DC09AF"/>
    <w:rsid w:val="00DC0D11"/>
    <w:rsid w:val="00DC0D60"/>
    <w:rsid w:val="00DC0F51"/>
    <w:rsid w:val="00DC200A"/>
    <w:rsid w:val="00DC281E"/>
    <w:rsid w:val="00DC344C"/>
    <w:rsid w:val="00DC420B"/>
    <w:rsid w:val="00DC4329"/>
    <w:rsid w:val="00DC46CB"/>
    <w:rsid w:val="00DC6397"/>
    <w:rsid w:val="00DC64F6"/>
    <w:rsid w:val="00DC6DB0"/>
    <w:rsid w:val="00DC73DA"/>
    <w:rsid w:val="00DD1259"/>
    <w:rsid w:val="00DD12B2"/>
    <w:rsid w:val="00DD17BA"/>
    <w:rsid w:val="00DD1994"/>
    <w:rsid w:val="00DD1D1E"/>
    <w:rsid w:val="00DD1DD1"/>
    <w:rsid w:val="00DD2455"/>
    <w:rsid w:val="00DD2B65"/>
    <w:rsid w:val="00DD2C1A"/>
    <w:rsid w:val="00DD2C38"/>
    <w:rsid w:val="00DD316C"/>
    <w:rsid w:val="00DD3A55"/>
    <w:rsid w:val="00DD3D54"/>
    <w:rsid w:val="00DD4648"/>
    <w:rsid w:val="00DD481F"/>
    <w:rsid w:val="00DD4AD1"/>
    <w:rsid w:val="00DD5891"/>
    <w:rsid w:val="00DD6CCE"/>
    <w:rsid w:val="00DD781D"/>
    <w:rsid w:val="00DE002D"/>
    <w:rsid w:val="00DE0CCF"/>
    <w:rsid w:val="00DE0EA0"/>
    <w:rsid w:val="00DE2149"/>
    <w:rsid w:val="00DE24DC"/>
    <w:rsid w:val="00DE30F6"/>
    <w:rsid w:val="00DE389F"/>
    <w:rsid w:val="00DE434F"/>
    <w:rsid w:val="00DE43E9"/>
    <w:rsid w:val="00DE5A1D"/>
    <w:rsid w:val="00DE5B8A"/>
    <w:rsid w:val="00DE7C13"/>
    <w:rsid w:val="00DE7C3C"/>
    <w:rsid w:val="00DF1834"/>
    <w:rsid w:val="00DF1A51"/>
    <w:rsid w:val="00DF273A"/>
    <w:rsid w:val="00DF2F05"/>
    <w:rsid w:val="00DF2FE2"/>
    <w:rsid w:val="00DF32FE"/>
    <w:rsid w:val="00DF3831"/>
    <w:rsid w:val="00DF4ACE"/>
    <w:rsid w:val="00DF4FC5"/>
    <w:rsid w:val="00DF5D0C"/>
    <w:rsid w:val="00DF67CF"/>
    <w:rsid w:val="00DF6F3F"/>
    <w:rsid w:val="00DF7ED6"/>
    <w:rsid w:val="00DF7FF6"/>
    <w:rsid w:val="00E003CE"/>
    <w:rsid w:val="00E013D6"/>
    <w:rsid w:val="00E027AE"/>
    <w:rsid w:val="00E03662"/>
    <w:rsid w:val="00E03720"/>
    <w:rsid w:val="00E03FE7"/>
    <w:rsid w:val="00E042EA"/>
    <w:rsid w:val="00E04DF9"/>
    <w:rsid w:val="00E05599"/>
    <w:rsid w:val="00E05C5D"/>
    <w:rsid w:val="00E06964"/>
    <w:rsid w:val="00E0761B"/>
    <w:rsid w:val="00E10732"/>
    <w:rsid w:val="00E10D09"/>
    <w:rsid w:val="00E10D6E"/>
    <w:rsid w:val="00E10EF6"/>
    <w:rsid w:val="00E11036"/>
    <w:rsid w:val="00E11493"/>
    <w:rsid w:val="00E11BD2"/>
    <w:rsid w:val="00E11D0D"/>
    <w:rsid w:val="00E11EE7"/>
    <w:rsid w:val="00E1245E"/>
    <w:rsid w:val="00E12B11"/>
    <w:rsid w:val="00E1314B"/>
    <w:rsid w:val="00E14185"/>
    <w:rsid w:val="00E144BA"/>
    <w:rsid w:val="00E16679"/>
    <w:rsid w:val="00E17E0B"/>
    <w:rsid w:val="00E2031A"/>
    <w:rsid w:val="00E20611"/>
    <w:rsid w:val="00E20B03"/>
    <w:rsid w:val="00E20C94"/>
    <w:rsid w:val="00E20DB6"/>
    <w:rsid w:val="00E21D15"/>
    <w:rsid w:val="00E224CB"/>
    <w:rsid w:val="00E22B98"/>
    <w:rsid w:val="00E22F9A"/>
    <w:rsid w:val="00E2366F"/>
    <w:rsid w:val="00E23838"/>
    <w:rsid w:val="00E23D46"/>
    <w:rsid w:val="00E251B8"/>
    <w:rsid w:val="00E25C02"/>
    <w:rsid w:val="00E25C58"/>
    <w:rsid w:val="00E26A6A"/>
    <w:rsid w:val="00E27ED2"/>
    <w:rsid w:val="00E3074F"/>
    <w:rsid w:val="00E30755"/>
    <w:rsid w:val="00E30F92"/>
    <w:rsid w:val="00E312CF"/>
    <w:rsid w:val="00E314CB"/>
    <w:rsid w:val="00E31998"/>
    <w:rsid w:val="00E31E10"/>
    <w:rsid w:val="00E3297C"/>
    <w:rsid w:val="00E329E7"/>
    <w:rsid w:val="00E32BF2"/>
    <w:rsid w:val="00E331C7"/>
    <w:rsid w:val="00E339B0"/>
    <w:rsid w:val="00E33A6F"/>
    <w:rsid w:val="00E33B98"/>
    <w:rsid w:val="00E34EAC"/>
    <w:rsid w:val="00E354DD"/>
    <w:rsid w:val="00E3696E"/>
    <w:rsid w:val="00E36BA7"/>
    <w:rsid w:val="00E374E3"/>
    <w:rsid w:val="00E378AB"/>
    <w:rsid w:val="00E379A3"/>
    <w:rsid w:val="00E37DA2"/>
    <w:rsid w:val="00E40424"/>
    <w:rsid w:val="00E40516"/>
    <w:rsid w:val="00E40AA1"/>
    <w:rsid w:val="00E40AFB"/>
    <w:rsid w:val="00E411F8"/>
    <w:rsid w:val="00E41999"/>
    <w:rsid w:val="00E41DA8"/>
    <w:rsid w:val="00E4478F"/>
    <w:rsid w:val="00E459BB"/>
    <w:rsid w:val="00E45A22"/>
    <w:rsid w:val="00E463FC"/>
    <w:rsid w:val="00E465D5"/>
    <w:rsid w:val="00E4699C"/>
    <w:rsid w:val="00E46BA8"/>
    <w:rsid w:val="00E478AB"/>
    <w:rsid w:val="00E47D18"/>
    <w:rsid w:val="00E50226"/>
    <w:rsid w:val="00E50A41"/>
    <w:rsid w:val="00E52FEE"/>
    <w:rsid w:val="00E530B9"/>
    <w:rsid w:val="00E5326B"/>
    <w:rsid w:val="00E54374"/>
    <w:rsid w:val="00E5567D"/>
    <w:rsid w:val="00E564B1"/>
    <w:rsid w:val="00E565EE"/>
    <w:rsid w:val="00E56BB2"/>
    <w:rsid w:val="00E601BA"/>
    <w:rsid w:val="00E601FC"/>
    <w:rsid w:val="00E60493"/>
    <w:rsid w:val="00E613A1"/>
    <w:rsid w:val="00E61797"/>
    <w:rsid w:val="00E62069"/>
    <w:rsid w:val="00E62895"/>
    <w:rsid w:val="00E62DCE"/>
    <w:rsid w:val="00E638D4"/>
    <w:rsid w:val="00E63DCC"/>
    <w:rsid w:val="00E6418D"/>
    <w:rsid w:val="00E6448D"/>
    <w:rsid w:val="00E64CEB"/>
    <w:rsid w:val="00E658A4"/>
    <w:rsid w:val="00E66A4A"/>
    <w:rsid w:val="00E66B63"/>
    <w:rsid w:val="00E672BE"/>
    <w:rsid w:val="00E67373"/>
    <w:rsid w:val="00E67B68"/>
    <w:rsid w:val="00E67FE8"/>
    <w:rsid w:val="00E70B33"/>
    <w:rsid w:val="00E70D27"/>
    <w:rsid w:val="00E70FAF"/>
    <w:rsid w:val="00E71797"/>
    <w:rsid w:val="00E71C7F"/>
    <w:rsid w:val="00E721BA"/>
    <w:rsid w:val="00E73B1B"/>
    <w:rsid w:val="00E74D51"/>
    <w:rsid w:val="00E74FF7"/>
    <w:rsid w:val="00E753D8"/>
    <w:rsid w:val="00E75503"/>
    <w:rsid w:val="00E75972"/>
    <w:rsid w:val="00E76DA2"/>
    <w:rsid w:val="00E76DF0"/>
    <w:rsid w:val="00E80B57"/>
    <w:rsid w:val="00E80E11"/>
    <w:rsid w:val="00E812AE"/>
    <w:rsid w:val="00E813B7"/>
    <w:rsid w:val="00E81762"/>
    <w:rsid w:val="00E81C75"/>
    <w:rsid w:val="00E8253A"/>
    <w:rsid w:val="00E84071"/>
    <w:rsid w:val="00E84682"/>
    <w:rsid w:val="00E854DA"/>
    <w:rsid w:val="00E86807"/>
    <w:rsid w:val="00E869C6"/>
    <w:rsid w:val="00E87306"/>
    <w:rsid w:val="00E90804"/>
    <w:rsid w:val="00E934C5"/>
    <w:rsid w:val="00E93853"/>
    <w:rsid w:val="00E93A9A"/>
    <w:rsid w:val="00E940D6"/>
    <w:rsid w:val="00E9424B"/>
    <w:rsid w:val="00E949C2"/>
    <w:rsid w:val="00E95063"/>
    <w:rsid w:val="00E9635B"/>
    <w:rsid w:val="00E967AC"/>
    <w:rsid w:val="00E96B9A"/>
    <w:rsid w:val="00EA0139"/>
    <w:rsid w:val="00EA11C4"/>
    <w:rsid w:val="00EA1E2A"/>
    <w:rsid w:val="00EA20E2"/>
    <w:rsid w:val="00EA26EA"/>
    <w:rsid w:val="00EA27FB"/>
    <w:rsid w:val="00EA2A72"/>
    <w:rsid w:val="00EA30D2"/>
    <w:rsid w:val="00EA3C6E"/>
    <w:rsid w:val="00EA60AC"/>
    <w:rsid w:val="00EA6AFA"/>
    <w:rsid w:val="00EA6FED"/>
    <w:rsid w:val="00EA769C"/>
    <w:rsid w:val="00EB0C1D"/>
    <w:rsid w:val="00EB0DC9"/>
    <w:rsid w:val="00EB0EB0"/>
    <w:rsid w:val="00EB1D63"/>
    <w:rsid w:val="00EB24F0"/>
    <w:rsid w:val="00EB31F0"/>
    <w:rsid w:val="00EB500B"/>
    <w:rsid w:val="00EB564D"/>
    <w:rsid w:val="00EB5AFD"/>
    <w:rsid w:val="00EB5DBC"/>
    <w:rsid w:val="00EB6738"/>
    <w:rsid w:val="00EB680C"/>
    <w:rsid w:val="00EB6A3E"/>
    <w:rsid w:val="00EB7A20"/>
    <w:rsid w:val="00EC005D"/>
    <w:rsid w:val="00EC05F4"/>
    <w:rsid w:val="00EC0F8F"/>
    <w:rsid w:val="00EC1631"/>
    <w:rsid w:val="00EC1774"/>
    <w:rsid w:val="00EC18C7"/>
    <w:rsid w:val="00EC1E1A"/>
    <w:rsid w:val="00EC1E47"/>
    <w:rsid w:val="00EC1F1D"/>
    <w:rsid w:val="00EC1F27"/>
    <w:rsid w:val="00EC2DA7"/>
    <w:rsid w:val="00EC3428"/>
    <w:rsid w:val="00EC37B2"/>
    <w:rsid w:val="00EC37DE"/>
    <w:rsid w:val="00EC4CC1"/>
    <w:rsid w:val="00EC556D"/>
    <w:rsid w:val="00EC569F"/>
    <w:rsid w:val="00EC7775"/>
    <w:rsid w:val="00EC799E"/>
    <w:rsid w:val="00EC7FC6"/>
    <w:rsid w:val="00ED0220"/>
    <w:rsid w:val="00ED02C9"/>
    <w:rsid w:val="00ED0A69"/>
    <w:rsid w:val="00ED0CBC"/>
    <w:rsid w:val="00ED1080"/>
    <w:rsid w:val="00ED1B87"/>
    <w:rsid w:val="00ED2F5A"/>
    <w:rsid w:val="00ED2FDF"/>
    <w:rsid w:val="00ED306D"/>
    <w:rsid w:val="00ED3720"/>
    <w:rsid w:val="00ED45A5"/>
    <w:rsid w:val="00ED4BC8"/>
    <w:rsid w:val="00ED5EEC"/>
    <w:rsid w:val="00ED691A"/>
    <w:rsid w:val="00ED6D34"/>
    <w:rsid w:val="00ED73AB"/>
    <w:rsid w:val="00ED7C3F"/>
    <w:rsid w:val="00ED7C74"/>
    <w:rsid w:val="00EE1445"/>
    <w:rsid w:val="00EE1632"/>
    <w:rsid w:val="00EE1652"/>
    <w:rsid w:val="00EE26C7"/>
    <w:rsid w:val="00EE36C1"/>
    <w:rsid w:val="00EE419B"/>
    <w:rsid w:val="00EE43FC"/>
    <w:rsid w:val="00EE5667"/>
    <w:rsid w:val="00EE7644"/>
    <w:rsid w:val="00EE797B"/>
    <w:rsid w:val="00EF05AC"/>
    <w:rsid w:val="00EF0D97"/>
    <w:rsid w:val="00EF1D84"/>
    <w:rsid w:val="00EF273D"/>
    <w:rsid w:val="00EF36D6"/>
    <w:rsid w:val="00EF3E7C"/>
    <w:rsid w:val="00EF41BB"/>
    <w:rsid w:val="00EF495F"/>
    <w:rsid w:val="00EF6059"/>
    <w:rsid w:val="00EF665E"/>
    <w:rsid w:val="00EF6D0F"/>
    <w:rsid w:val="00EF6EFE"/>
    <w:rsid w:val="00EF7161"/>
    <w:rsid w:val="00EF78BC"/>
    <w:rsid w:val="00F009BD"/>
    <w:rsid w:val="00F01FCF"/>
    <w:rsid w:val="00F037E1"/>
    <w:rsid w:val="00F03AA1"/>
    <w:rsid w:val="00F03D97"/>
    <w:rsid w:val="00F040DF"/>
    <w:rsid w:val="00F04124"/>
    <w:rsid w:val="00F05632"/>
    <w:rsid w:val="00F056E6"/>
    <w:rsid w:val="00F060E3"/>
    <w:rsid w:val="00F063CB"/>
    <w:rsid w:val="00F06DF2"/>
    <w:rsid w:val="00F07E3A"/>
    <w:rsid w:val="00F10717"/>
    <w:rsid w:val="00F113B7"/>
    <w:rsid w:val="00F117A8"/>
    <w:rsid w:val="00F12836"/>
    <w:rsid w:val="00F12DA8"/>
    <w:rsid w:val="00F12DC8"/>
    <w:rsid w:val="00F15356"/>
    <w:rsid w:val="00F153B8"/>
    <w:rsid w:val="00F161F4"/>
    <w:rsid w:val="00F16AB0"/>
    <w:rsid w:val="00F17306"/>
    <w:rsid w:val="00F174B5"/>
    <w:rsid w:val="00F20540"/>
    <w:rsid w:val="00F208DC"/>
    <w:rsid w:val="00F22362"/>
    <w:rsid w:val="00F22ECA"/>
    <w:rsid w:val="00F232B1"/>
    <w:rsid w:val="00F23B3A"/>
    <w:rsid w:val="00F24986"/>
    <w:rsid w:val="00F2662C"/>
    <w:rsid w:val="00F26E46"/>
    <w:rsid w:val="00F271EC"/>
    <w:rsid w:val="00F27409"/>
    <w:rsid w:val="00F27F15"/>
    <w:rsid w:val="00F30223"/>
    <w:rsid w:val="00F319C7"/>
    <w:rsid w:val="00F31B06"/>
    <w:rsid w:val="00F31FBB"/>
    <w:rsid w:val="00F32608"/>
    <w:rsid w:val="00F34A3C"/>
    <w:rsid w:val="00F3599C"/>
    <w:rsid w:val="00F35CD9"/>
    <w:rsid w:val="00F36FF0"/>
    <w:rsid w:val="00F3706A"/>
    <w:rsid w:val="00F37306"/>
    <w:rsid w:val="00F37AE9"/>
    <w:rsid w:val="00F37B10"/>
    <w:rsid w:val="00F37CD5"/>
    <w:rsid w:val="00F407DC"/>
    <w:rsid w:val="00F41128"/>
    <w:rsid w:val="00F41459"/>
    <w:rsid w:val="00F4297D"/>
    <w:rsid w:val="00F4332E"/>
    <w:rsid w:val="00F43AD4"/>
    <w:rsid w:val="00F43D2F"/>
    <w:rsid w:val="00F44190"/>
    <w:rsid w:val="00F44962"/>
    <w:rsid w:val="00F45648"/>
    <w:rsid w:val="00F45DE8"/>
    <w:rsid w:val="00F460F5"/>
    <w:rsid w:val="00F47384"/>
    <w:rsid w:val="00F474FF"/>
    <w:rsid w:val="00F4789F"/>
    <w:rsid w:val="00F47CDC"/>
    <w:rsid w:val="00F5034F"/>
    <w:rsid w:val="00F509F4"/>
    <w:rsid w:val="00F5100B"/>
    <w:rsid w:val="00F53247"/>
    <w:rsid w:val="00F541B0"/>
    <w:rsid w:val="00F54304"/>
    <w:rsid w:val="00F551E1"/>
    <w:rsid w:val="00F5557A"/>
    <w:rsid w:val="00F55A82"/>
    <w:rsid w:val="00F55E87"/>
    <w:rsid w:val="00F55F21"/>
    <w:rsid w:val="00F562D5"/>
    <w:rsid w:val="00F57088"/>
    <w:rsid w:val="00F60318"/>
    <w:rsid w:val="00F60515"/>
    <w:rsid w:val="00F608D5"/>
    <w:rsid w:val="00F60F7D"/>
    <w:rsid w:val="00F60F8B"/>
    <w:rsid w:val="00F62BDA"/>
    <w:rsid w:val="00F63466"/>
    <w:rsid w:val="00F64517"/>
    <w:rsid w:val="00F656EC"/>
    <w:rsid w:val="00F65B9F"/>
    <w:rsid w:val="00F65D9B"/>
    <w:rsid w:val="00F662F7"/>
    <w:rsid w:val="00F66509"/>
    <w:rsid w:val="00F6674D"/>
    <w:rsid w:val="00F700AB"/>
    <w:rsid w:val="00F70341"/>
    <w:rsid w:val="00F703CB"/>
    <w:rsid w:val="00F70C78"/>
    <w:rsid w:val="00F71181"/>
    <w:rsid w:val="00F71AD4"/>
    <w:rsid w:val="00F71F62"/>
    <w:rsid w:val="00F7279F"/>
    <w:rsid w:val="00F728E3"/>
    <w:rsid w:val="00F729E4"/>
    <w:rsid w:val="00F72FF9"/>
    <w:rsid w:val="00F734F2"/>
    <w:rsid w:val="00F73C61"/>
    <w:rsid w:val="00F74570"/>
    <w:rsid w:val="00F74B70"/>
    <w:rsid w:val="00F74EB9"/>
    <w:rsid w:val="00F757A0"/>
    <w:rsid w:val="00F7614B"/>
    <w:rsid w:val="00F815AC"/>
    <w:rsid w:val="00F818E3"/>
    <w:rsid w:val="00F81DA6"/>
    <w:rsid w:val="00F8264F"/>
    <w:rsid w:val="00F8278B"/>
    <w:rsid w:val="00F82B43"/>
    <w:rsid w:val="00F82C98"/>
    <w:rsid w:val="00F8328B"/>
    <w:rsid w:val="00F83F77"/>
    <w:rsid w:val="00F85066"/>
    <w:rsid w:val="00F85E1E"/>
    <w:rsid w:val="00F85F39"/>
    <w:rsid w:val="00F8678F"/>
    <w:rsid w:val="00F869B9"/>
    <w:rsid w:val="00F86B3E"/>
    <w:rsid w:val="00F8754F"/>
    <w:rsid w:val="00F879AF"/>
    <w:rsid w:val="00F87A34"/>
    <w:rsid w:val="00F87BB9"/>
    <w:rsid w:val="00F9130C"/>
    <w:rsid w:val="00F92516"/>
    <w:rsid w:val="00F929CE"/>
    <w:rsid w:val="00F929EF"/>
    <w:rsid w:val="00F92B3D"/>
    <w:rsid w:val="00F92BD7"/>
    <w:rsid w:val="00F931C5"/>
    <w:rsid w:val="00F932F9"/>
    <w:rsid w:val="00F93412"/>
    <w:rsid w:val="00F965E8"/>
    <w:rsid w:val="00F96DEE"/>
    <w:rsid w:val="00F97511"/>
    <w:rsid w:val="00F97A68"/>
    <w:rsid w:val="00FA007A"/>
    <w:rsid w:val="00FA026C"/>
    <w:rsid w:val="00FA03B8"/>
    <w:rsid w:val="00FA1DB6"/>
    <w:rsid w:val="00FA25B7"/>
    <w:rsid w:val="00FA3B86"/>
    <w:rsid w:val="00FA403B"/>
    <w:rsid w:val="00FA4CEE"/>
    <w:rsid w:val="00FA5706"/>
    <w:rsid w:val="00FA5E55"/>
    <w:rsid w:val="00FB06D3"/>
    <w:rsid w:val="00FB13C4"/>
    <w:rsid w:val="00FB191B"/>
    <w:rsid w:val="00FB204E"/>
    <w:rsid w:val="00FB2586"/>
    <w:rsid w:val="00FB26D3"/>
    <w:rsid w:val="00FB2853"/>
    <w:rsid w:val="00FB2FC9"/>
    <w:rsid w:val="00FB34FF"/>
    <w:rsid w:val="00FB390E"/>
    <w:rsid w:val="00FB46CC"/>
    <w:rsid w:val="00FB58BE"/>
    <w:rsid w:val="00FB5A1B"/>
    <w:rsid w:val="00FB5AE4"/>
    <w:rsid w:val="00FB6563"/>
    <w:rsid w:val="00FC20B0"/>
    <w:rsid w:val="00FC37DF"/>
    <w:rsid w:val="00FC3946"/>
    <w:rsid w:val="00FC3A7E"/>
    <w:rsid w:val="00FC3DE3"/>
    <w:rsid w:val="00FC3E88"/>
    <w:rsid w:val="00FC4087"/>
    <w:rsid w:val="00FC4695"/>
    <w:rsid w:val="00FC5DE4"/>
    <w:rsid w:val="00FC6A26"/>
    <w:rsid w:val="00FC7CAA"/>
    <w:rsid w:val="00FC7F3F"/>
    <w:rsid w:val="00FD12BD"/>
    <w:rsid w:val="00FD18BE"/>
    <w:rsid w:val="00FD2B26"/>
    <w:rsid w:val="00FD307C"/>
    <w:rsid w:val="00FD371A"/>
    <w:rsid w:val="00FD3762"/>
    <w:rsid w:val="00FD4331"/>
    <w:rsid w:val="00FD4FD5"/>
    <w:rsid w:val="00FD53D3"/>
    <w:rsid w:val="00FD5773"/>
    <w:rsid w:val="00FD595C"/>
    <w:rsid w:val="00FD6131"/>
    <w:rsid w:val="00FD6189"/>
    <w:rsid w:val="00FD6540"/>
    <w:rsid w:val="00FD6A40"/>
    <w:rsid w:val="00FE19E4"/>
    <w:rsid w:val="00FE1F7F"/>
    <w:rsid w:val="00FE3B31"/>
    <w:rsid w:val="00FE42F7"/>
    <w:rsid w:val="00FE4604"/>
    <w:rsid w:val="00FE4896"/>
    <w:rsid w:val="00FE4907"/>
    <w:rsid w:val="00FE493D"/>
    <w:rsid w:val="00FE5183"/>
    <w:rsid w:val="00FE5644"/>
    <w:rsid w:val="00FE56E3"/>
    <w:rsid w:val="00FE588E"/>
    <w:rsid w:val="00FE6472"/>
    <w:rsid w:val="00FE76EC"/>
    <w:rsid w:val="00FE77A8"/>
    <w:rsid w:val="00FF0DA6"/>
    <w:rsid w:val="00FF1B80"/>
    <w:rsid w:val="00FF243F"/>
    <w:rsid w:val="00FF258E"/>
    <w:rsid w:val="00FF292C"/>
    <w:rsid w:val="00FF2EF0"/>
    <w:rsid w:val="00FF306F"/>
    <w:rsid w:val="00FF4074"/>
    <w:rsid w:val="00FF4261"/>
    <w:rsid w:val="00FF4747"/>
    <w:rsid w:val="00FF4A39"/>
    <w:rsid w:val="00FF5D82"/>
    <w:rsid w:val="00FF60F0"/>
    <w:rsid w:val="00FF70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0F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toc 1"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6864"/>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basedOn w:val="Normale"/>
    <w:link w:val="TestonotaapidipaginaCarattere"/>
    <w:uiPriority w:val="99"/>
    <w:semiHidden/>
    <w:rsid w:val="00FB34FF"/>
    <w:rPr>
      <w:sz w:val="20"/>
      <w:szCs w:val="20"/>
    </w:rPr>
  </w:style>
  <w:style w:type="character" w:styleId="Rimandonotaapidipagina">
    <w:name w:val="footnote reference"/>
    <w:uiPriority w:val="99"/>
    <w:semiHidden/>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basedOn w:val="Carpredefinitoparagrafo"/>
    <w:link w:val="Testonotaapidipagina"/>
    <w:uiPriority w:val="99"/>
    <w:semiHidden/>
    <w:rsid w:val="00DD1259"/>
  </w:style>
  <w:style w:type="paragraph" w:styleId="Testonotadichiusura">
    <w:name w:val="endnote text"/>
    <w:basedOn w:val="Normale"/>
    <w:link w:val="TestonotadichiusuraCarattere"/>
    <w:unhideWhenUsed/>
    <w:rsid w:val="00C91EBC"/>
    <w:rPr>
      <w:sz w:val="20"/>
      <w:szCs w:val="20"/>
    </w:rPr>
  </w:style>
  <w:style w:type="character" w:customStyle="1" w:styleId="TestonotadichiusuraCarattere">
    <w:name w:val="Testo nota di chiusura Carattere"/>
    <w:basedOn w:val="Carpredefinitoparagrafo"/>
    <w:link w:val="Testonotadichiusura"/>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toc 1"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6864"/>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basedOn w:val="Normale"/>
    <w:link w:val="TestonotaapidipaginaCarattere"/>
    <w:uiPriority w:val="99"/>
    <w:semiHidden/>
    <w:rsid w:val="00FB34FF"/>
    <w:rPr>
      <w:sz w:val="20"/>
      <w:szCs w:val="20"/>
    </w:rPr>
  </w:style>
  <w:style w:type="character" w:styleId="Rimandonotaapidipagina">
    <w:name w:val="footnote reference"/>
    <w:uiPriority w:val="99"/>
    <w:semiHidden/>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basedOn w:val="Carpredefinitoparagrafo"/>
    <w:link w:val="Testonotaapidipagina"/>
    <w:uiPriority w:val="99"/>
    <w:semiHidden/>
    <w:rsid w:val="00DD1259"/>
  </w:style>
  <w:style w:type="paragraph" w:styleId="Testonotadichiusura">
    <w:name w:val="endnote text"/>
    <w:basedOn w:val="Normale"/>
    <w:link w:val="TestonotadichiusuraCarattere"/>
    <w:unhideWhenUsed/>
    <w:rsid w:val="00C91EBC"/>
    <w:rPr>
      <w:sz w:val="20"/>
      <w:szCs w:val="20"/>
    </w:rPr>
  </w:style>
  <w:style w:type="character" w:customStyle="1" w:styleId="TestonotadichiusuraCarattere">
    <w:name w:val="Testo nota di chiusura Carattere"/>
    <w:basedOn w:val="Carpredefinitoparagrafo"/>
    <w:link w:val="Testonotadichiusura"/>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19045">
      <w:bodyDiv w:val="1"/>
      <w:marLeft w:val="0"/>
      <w:marRight w:val="0"/>
      <w:marTop w:val="0"/>
      <w:marBottom w:val="0"/>
      <w:divBdr>
        <w:top w:val="none" w:sz="0" w:space="0" w:color="auto"/>
        <w:left w:val="none" w:sz="0" w:space="0" w:color="auto"/>
        <w:bottom w:val="none" w:sz="0" w:space="0" w:color="auto"/>
        <w:right w:val="none" w:sz="0" w:space="0" w:color="auto"/>
      </w:divBdr>
    </w:div>
    <w:div w:id="132842651">
      <w:bodyDiv w:val="1"/>
      <w:marLeft w:val="0"/>
      <w:marRight w:val="0"/>
      <w:marTop w:val="0"/>
      <w:marBottom w:val="0"/>
      <w:divBdr>
        <w:top w:val="none" w:sz="0" w:space="0" w:color="auto"/>
        <w:left w:val="none" w:sz="0" w:space="0" w:color="auto"/>
        <w:bottom w:val="none" w:sz="0" w:space="0" w:color="auto"/>
        <w:right w:val="none" w:sz="0" w:space="0" w:color="auto"/>
      </w:divBdr>
    </w:div>
    <w:div w:id="151600973">
      <w:bodyDiv w:val="1"/>
      <w:marLeft w:val="0"/>
      <w:marRight w:val="0"/>
      <w:marTop w:val="0"/>
      <w:marBottom w:val="0"/>
      <w:divBdr>
        <w:top w:val="none" w:sz="0" w:space="0" w:color="auto"/>
        <w:left w:val="none" w:sz="0" w:space="0" w:color="auto"/>
        <w:bottom w:val="none" w:sz="0" w:space="0" w:color="auto"/>
        <w:right w:val="none" w:sz="0" w:space="0" w:color="auto"/>
      </w:divBdr>
    </w:div>
    <w:div w:id="161939806">
      <w:bodyDiv w:val="1"/>
      <w:marLeft w:val="0"/>
      <w:marRight w:val="0"/>
      <w:marTop w:val="0"/>
      <w:marBottom w:val="0"/>
      <w:divBdr>
        <w:top w:val="none" w:sz="0" w:space="0" w:color="auto"/>
        <w:left w:val="none" w:sz="0" w:space="0" w:color="auto"/>
        <w:bottom w:val="none" w:sz="0" w:space="0" w:color="auto"/>
        <w:right w:val="none" w:sz="0" w:space="0" w:color="auto"/>
      </w:divBdr>
    </w:div>
    <w:div w:id="228618688">
      <w:bodyDiv w:val="1"/>
      <w:marLeft w:val="0"/>
      <w:marRight w:val="0"/>
      <w:marTop w:val="0"/>
      <w:marBottom w:val="0"/>
      <w:divBdr>
        <w:top w:val="none" w:sz="0" w:space="0" w:color="auto"/>
        <w:left w:val="none" w:sz="0" w:space="0" w:color="auto"/>
        <w:bottom w:val="none" w:sz="0" w:space="0" w:color="auto"/>
        <w:right w:val="none" w:sz="0" w:space="0" w:color="auto"/>
      </w:divBdr>
    </w:div>
    <w:div w:id="310909387">
      <w:bodyDiv w:val="1"/>
      <w:marLeft w:val="0"/>
      <w:marRight w:val="0"/>
      <w:marTop w:val="0"/>
      <w:marBottom w:val="0"/>
      <w:divBdr>
        <w:top w:val="none" w:sz="0" w:space="0" w:color="auto"/>
        <w:left w:val="none" w:sz="0" w:space="0" w:color="auto"/>
        <w:bottom w:val="none" w:sz="0" w:space="0" w:color="auto"/>
        <w:right w:val="none" w:sz="0" w:space="0" w:color="auto"/>
      </w:divBdr>
    </w:div>
    <w:div w:id="404114048">
      <w:bodyDiv w:val="1"/>
      <w:marLeft w:val="0"/>
      <w:marRight w:val="0"/>
      <w:marTop w:val="0"/>
      <w:marBottom w:val="0"/>
      <w:divBdr>
        <w:top w:val="none" w:sz="0" w:space="0" w:color="auto"/>
        <w:left w:val="none" w:sz="0" w:space="0" w:color="auto"/>
        <w:bottom w:val="none" w:sz="0" w:space="0" w:color="auto"/>
        <w:right w:val="none" w:sz="0" w:space="0" w:color="auto"/>
      </w:divBdr>
    </w:div>
    <w:div w:id="460540886">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748114000">
      <w:bodyDiv w:val="1"/>
      <w:marLeft w:val="0"/>
      <w:marRight w:val="0"/>
      <w:marTop w:val="0"/>
      <w:marBottom w:val="0"/>
      <w:divBdr>
        <w:top w:val="none" w:sz="0" w:space="0" w:color="auto"/>
        <w:left w:val="none" w:sz="0" w:space="0" w:color="auto"/>
        <w:bottom w:val="none" w:sz="0" w:space="0" w:color="auto"/>
        <w:right w:val="none" w:sz="0" w:space="0" w:color="auto"/>
      </w:divBdr>
    </w:div>
    <w:div w:id="1190532546">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521041103">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596160424">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720397666">
      <w:bodyDiv w:val="1"/>
      <w:marLeft w:val="0"/>
      <w:marRight w:val="0"/>
      <w:marTop w:val="0"/>
      <w:marBottom w:val="0"/>
      <w:divBdr>
        <w:top w:val="none" w:sz="0" w:space="0" w:color="auto"/>
        <w:left w:val="none" w:sz="0" w:space="0" w:color="auto"/>
        <w:bottom w:val="none" w:sz="0" w:space="0" w:color="auto"/>
        <w:right w:val="none" w:sz="0" w:space="0" w:color="auto"/>
      </w:divBdr>
    </w:div>
    <w:div w:id="1762025528">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1816409276">
      <w:bodyDiv w:val="1"/>
      <w:marLeft w:val="0"/>
      <w:marRight w:val="0"/>
      <w:marTop w:val="0"/>
      <w:marBottom w:val="0"/>
      <w:divBdr>
        <w:top w:val="none" w:sz="0" w:space="0" w:color="auto"/>
        <w:left w:val="none" w:sz="0" w:space="0" w:color="auto"/>
        <w:bottom w:val="none" w:sz="0" w:space="0" w:color="auto"/>
        <w:right w:val="none" w:sz="0" w:space="0" w:color="auto"/>
      </w:divBdr>
    </w:div>
    <w:div w:id="193424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www.istat.it/it/archivio/6789" TargetMode="Externa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demo.istat.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dati.istat.it/" TargetMode="Externa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www.istat.it/it/archivio/6747" TargetMode="External"/><Relationship Id="rId30"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isa\DISA\DCSA\DEM\LICARI\ISCAN%202018\COMUNICATO\emigrat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isa\DISA\DCSA\DEM\LICARI\ISCAN%202018\COMUNICATO\intern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isa\DISA\DCSA\DEM\LICARI\ISCAN%202018\COMUNICATO\inter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isa\DISA\DCSA\DEM\LICARI\ISCAN%202018\COMUNICATO\emigr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sa\DISA\DCSA\DEM\LICARI\ISCAN%202018\COMUNICATO\immigrat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isa\DISA\DCSA\DEM\LICARI\ISCAN%202018\COMUNICATO\immigra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aaaaaa%20ENZA%20LUCIA\Documents\EDITING%20COMUNICATI\REPORT%20DA%20LAVORARE\2019\Migrazioni\tavole%20e%20grafici_migrazio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aaaaaa%20ENZA%20LUCIA\Documents\EDITING%20COMUNICATI\REPORT%20DA%20LAVORARE\2019\Migrazioni\tavole%20e%20grafici_migrazion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aaaaaa%20ENZA%20LUCIA\Documents\EDITING%20COMUNICATI\REPORT%20DA%20LAVORARE\2019\Migrazioni\tavole%20e%20grafici_migrazion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aaaaaa%20ENZA%20LUCIA\Documents\EDITING%20COMUNICATI\REPORT%20DA%20LAVORARE\2019\Migrazioni\tavole%20e%20grafici_migrazion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isa\DISA\DCSA\DEM\LICARI\ISCAN%202018\COMUNICATO\inter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369164019332747E-2"/>
          <c:y val="0.16959154299260978"/>
          <c:w val="0.94352315850628565"/>
          <c:h val="0.67865997314255788"/>
        </c:manualLayout>
      </c:layout>
      <c:barChart>
        <c:barDir val="col"/>
        <c:grouping val="clustered"/>
        <c:varyColors val="0"/>
        <c:ser>
          <c:idx val="0"/>
          <c:order val="0"/>
          <c:tx>
            <c:strRef>
              <c:f>'paesi di destinazione (2)'!$H$18</c:f>
              <c:strCache>
                <c:ptCount val="1"/>
                <c:pt idx="0">
                  <c:v>totale emigrati italiani</c:v>
                </c:pt>
              </c:strCache>
            </c:strRef>
          </c:tx>
          <c:spPr>
            <a:solidFill>
              <a:srgbClr val="E42618"/>
            </a:solidFill>
          </c:spPr>
          <c:invertIfNegative val="0"/>
          <c:cat>
            <c:strRef>
              <c:f>'paesi di destinazione (2)'!$G$19:$G$29</c:f>
              <c:strCache>
                <c:ptCount val="11"/>
                <c:pt idx="0">
                  <c:v>Regno Unito</c:v>
                </c:pt>
                <c:pt idx="1">
                  <c:v>Germania</c:v>
                </c:pt>
                <c:pt idx="2">
                  <c:v>Svizzera</c:v>
                </c:pt>
                <c:pt idx="3">
                  <c:v>Francia</c:v>
                </c:pt>
                <c:pt idx="4">
                  <c:v>Spagna</c:v>
                </c:pt>
                <c:pt idx="5">
                  <c:v>Stati Uniti d'America</c:v>
                </c:pt>
                <c:pt idx="6">
                  <c:v>Brasile</c:v>
                </c:pt>
                <c:pt idx="7">
                  <c:v>Belgio</c:v>
                </c:pt>
                <c:pt idx="8">
                  <c:v>Australia</c:v>
                </c:pt>
                <c:pt idx="9">
                  <c:v>Austria</c:v>
                </c:pt>
                <c:pt idx="10">
                  <c:v>Altri paesi</c:v>
                </c:pt>
              </c:strCache>
            </c:strRef>
          </c:cat>
          <c:val>
            <c:numRef>
              <c:f>'paesi di destinazione (2)'!$H$19:$H$29</c:f>
              <c:numCache>
                <c:formatCode>General</c:formatCode>
                <c:ptCount val="11"/>
                <c:pt idx="0">
                  <c:v>132957</c:v>
                </c:pt>
                <c:pt idx="1">
                  <c:v>127007</c:v>
                </c:pt>
                <c:pt idx="2">
                  <c:v>86456</c:v>
                </c:pt>
                <c:pt idx="3">
                  <c:v>82644</c:v>
                </c:pt>
                <c:pt idx="4">
                  <c:v>44871</c:v>
                </c:pt>
                <c:pt idx="5">
                  <c:v>44581</c:v>
                </c:pt>
                <c:pt idx="6">
                  <c:v>40325</c:v>
                </c:pt>
                <c:pt idx="7">
                  <c:v>21294</c:v>
                </c:pt>
                <c:pt idx="8">
                  <c:v>16079</c:v>
                </c:pt>
                <c:pt idx="9">
                  <c:v>14941</c:v>
                </c:pt>
                <c:pt idx="10">
                  <c:v>204485</c:v>
                </c:pt>
              </c:numCache>
            </c:numRef>
          </c:val>
          <c:extLst xmlns:c16r2="http://schemas.microsoft.com/office/drawing/2015/06/chart">
            <c:ext xmlns:c16="http://schemas.microsoft.com/office/drawing/2014/chart" uri="{C3380CC4-5D6E-409C-BE32-E72D297353CC}">
              <c16:uniqueId val="{00000000-F2AA-4F9F-98DA-076748A59292}"/>
            </c:ext>
          </c:extLst>
        </c:ser>
        <c:ser>
          <c:idx val="1"/>
          <c:order val="1"/>
          <c:tx>
            <c:strRef>
              <c:f>'paesi di destinazione (2)'!$I$18</c:f>
              <c:strCache>
                <c:ptCount val="1"/>
                <c:pt idx="0">
                  <c:v>di cui: "nuovi" italiani</c:v>
                </c:pt>
              </c:strCache>
            </c:strRef>
          </c:tx>
          <c:spPr>
            <a:solidFill>
              <a:srgbClr val="1F497D"/>
            </a:solidFill>
          </c:spPr>
          <c:invertIfNegative val="0"/>
          <c:cat>
            <c:strRef>
              <c:f>'paesi di destinazione (2)'!$G$19:$G$29</c:f>
              <c:strCache>
                <c:ptCount val="11"/>
                <c:pt idx="0">
                  <c:v>Regno Unito</c:v>
                </c:pt>
                <c:pt idx="1">
                  <c:v>Germania</c:v>
                </c:pt>
                <c:pt idx="2">
                  <c:v>Svizzera</c:v>
                </c:pt>
                <c:pt idx="3">
                  <c:v>Francia</c:v>
                </c:pt>
                <c:pt idx="4">
                  <c:v>Spagna</c:v>
                </c:pt>
                <c:pt idx="5">
                  <c:v>Stati Uniti d'America</c:v>
                </c:pt>
                <c:pt idx="6">
                  <c:v>Brasile</c:v>
                </c:pt>
                <c:pt idx="7">
                  <c:v>Belgio</c:v>
                </c:pt>
                <c:pt idx="8">
                  <c:v>Australia</c:v>
                </c:pt>
                <c:pt idx="9">
                  <c:v>Austria</c:v>
                </c:pt>
                <c:pt idx="10">
                  <c:v>Altri paesi</c:v>
                </c:pt>
              </c:strCache>
            </c:strRef>
          </c:cat>
          <c:val>
            <c:numRef>
              <c:f>'paesi di destinazione (2)'!$I$19:$I$29</c:f>
              <c:numCache>
                <c:formatCode>General</c:formatCode>
                <c:ptCount val="11"/>
                <c:pt idx="0">
                  <c:v>31718</c:v>
                </c:pt>
                <c:pt idx="1">
                  <c:v>28137</c:v>
                </c:pt>
                <c:pt idx="2">
                  <c:v>16598</c:v>
                </c:pt>
                <c:pt idx="3">
                  <c:v>21699</c:v>
                </c:pt>
                <c:pt idx="4">
                  <c:v>7793</c:v>
                </c:pt>
                <c:pt idx="5">
                  <c:v>8101</c:v>
                </c:pt>
                <c:pt idx="6">
                  <c:v>31046</c:v>
                </c:pt>
                <c:pt idx="7">
                  <c:v>5074</c:v>
                </c:pt>
                <c:pt idx="8">
                  <c:v>2187</c:v>
                </c:pt>
                <c:pt idx="9">
                  <c:v>2445</c:v>
                </c:pt>
                <c:pt idx="10">
                  <c:v>48772</c:v>
                </c:pt>
              </c:numCache>
            </c:numRef>
          </c:val>
          <c:extLst xmlns:c16r2="http://schemas.microsoft.com/office/drawing/2015/06/chart">
            <c:ext xmlns:c16="http://schemas.microsoft.com/office/drawing/2014/chart" uri="{C3380CC4-5D6E-409C-BE32-E72D297353CC}">
              <c16:uniqueId val="{0000000A-F2AA-4F9F-98DA-076748A59292}"/>
            </c:ext>
          </c:extLst>
        </c:ser>
        <c:dLbls>
          <c:showLegendKey val="0"/>
          <c:showVal val="0"/>
          <c:showCatName val="0"/>
          <c:showSerName val="0"/>
          <c:showPercent val="0"/>
          <c:showBubbleSize val="0"/>
        </c:dLbls>
        <c:gapWidth val="80"/>
        <c:overlap val="100"/>
        <c:axId val="162582912"/>
        <c:axId val="162584448"/>
      </c:barChart>
      <c:catAx>
        <c:axId val="162582912"/>
        <c:scaling>
          <c:orientation val="minMax"/>
        </c:scaling>
        <c:delete val="0"/>
        <c:axPos val="b"/>
        <c:majorGridlines>
          <c:spPr>
            <a:ln>
              <a:solidFill>
                <a:schemeClr val="bg1"/>
              </a:solidFill>
            </a:ln>
          </c:spPr>
        </c:majorGridlines>
        <c:numFmt formatCode="General" sourceLinked="0"/>
        <c:majorTickMark val="none"/>
        <c:minorTickMark val="none"/>
        <c:tickLblPos val="nextTo"/>
        <c:spPr>
          <a:ln>
            <a:solidFill>
              <a:schemeClr val="bg1"/>
            </a:solidFill>
          </a:ln>
        </c:spPr>
        <c:crossAx val="162584448"/>
        <c:crosses val="autoZero"/>
        <c:auto val="1"/>
        <c:lblAlgn val="ctr"/>
        <c:lblOffset val="100"/>
        <c:noMultiLvlLbl val="0"/>
      </c:catAx>
      <c:valAx>
        <c:axId val="162584448"/>
        <c:scaling>
          <c:orientation val="minMax"/>
        </c:scaling>
        <c:delete val="0"/>
        <c:axPos val="l"/>
        <c:majorGridlines>
          <c:spPr>
            <a:ln>
              <a:solidFill>
                <a:schemeClr val="bg1"/>
              </a:solidFill>
            </a:ln>
          </c:spPr>
        </c:majorGridlines>
        <c:numFmt formatCode="General" sourceLinked="1"/>
        <c:majorTickMark val="none"/>
        <c:minorTickMark val="none"/>
        <c:tickLblPos val="nextTo"/>
        <c:spPr>
          <a:ln>
            <a:solidFill>
              <a:schemeClr val="bg1"/>
            </a:solidFill>
          </a:ln>
        </c:spPr>
        <c:crossAx val="162582912"/>
        <c:crosses val="autoZero"/>
        <c:crossBetween val="between"/>
        <c:dispUnits>
          <c:builtInUnit val="thousands"/>
        </c:dispUnits>
      </c:valAx>
      <c:spPr>
        <a:noFill/>
        <a:ln>
          <a:noFill/>
        </a:ln>
      </c:spPr>
    </c:plotArea>
    <c:legend>
      <c:legendPos val="t"/>
      <c:layout>
        <c:manualLayout>
          <c:xMode val="edge"/>
          <c:yMode val="edge"/>
          <c:x val="0.31045885409631568"/>
          <c:y val="3.8324664659184229E-2"/>
          <c:w val="0.32955208530158808"/>
          <c:h val="8.1940158267675811E-2"/>
        </c:manualLayout>
      </c:layout>
      <c:overlay val="0"/>
    </c:legend>
    <c:plotVisOnly val="1"/>
    <c:dispBlanksAs val="gap"/>
    <c:showDLblsOverMax val="0"/>
  </c:chart>
  <c:spPr>
    <a:noFill/>
    <a:ln>
      <a:noFill/>
    </a:ln>
  </c:spPr>
  <c:txPr>
    <a:bodyPr/>
    <a:lstStyle/>
    <a:p>
      <a:pPr>
        <a:defRPr sz="800">
          <a:latin typeface="Arial Narrow" panose="020B0606020202030204" pitchFamily="34" charset="0"/>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076382053805775E-2"/>
          <c:y val="0.1334217670681018"/>
          <c:w val="0.94791869766279213"/>
          <c:h val="0.5674246207028999"/>
        </c:manualLayout>
      </c:layout>
      <c:barChart>
        <c:barDir val="col"/>
        <c:grouping val="clustered"/>
        <c:varyColors val="0"/>
        <c:ser>
          <c:idx val="0"/>
          <c:order val="0"/>
          <c:tx>
            <c:strRef>
              <c:f>Foglio1!$B$5</c:f>
              <c:strCache>
                <c:ptCount val="1"/>
                <c:pt idx="0">
                  <c:v>Saldi migratori 18-24 anni</c:v>
                </c:pt>
              </c:strCache>
            </c:strRef>
          </c:tx>
          <c:spPr>
            <a:solidFill>
              <a:srgbClr val="1F497D"/>
            </a:solidFill>
          </c:spPr>
          <c:invertIfNegative val="0"/>
          <c:cat>
            <c:strRef>
              <c:f>Foglio1!$A$6:$A$26</c:f>
              <c:strCache>
                <c:ptCount val="21"/>
                <c:pt idx="0">
                  <c:v>Lombardia</c:v>
                </c:pt>
                <c:pt idx="1">
                  <c:v>Emilia-Romagna</c:v>
                </c:pt>
                <c:pt idx="2">
                  <c:v>Veneto</c:v>
                </c:pt>
                <c:pt idx="3">
                  <c:v>Piemonte</c:v>
                </c:pt>
                <c:pt idx="4">
                  <c:v>Friuli-V.Giulia</c:v>
                </c:pt>
                <c:pt idx="5">
                  <c:v>Toscana</c:v>
                </c:pt>
                <c:pt idx="6">
                  <c:v>Bolzano/Bozen</c:v>
                </c:pt>
                <c:pt idx="7">
                  <c:v>Lazio</c:v>
                </c:pt>
                <c:pt idx="8">
                  <c:v>Liguria</c:v>
                </c:pt>
                <c:pt idx="9">
                  <c:v>Trento</c:v>
                </c:pt>
                <c:pt idx="10">
                  <c:v>Marche</c:v>
                </c:pt>
                <c:pt idx="11">
                  <c:v>Valle d'Aosta</c:v>
                </c:pt>
                <c:pt idx="12">
                  <c:v>Umbria</c:v>
                </c:pt>
                <c:pt idx="13">
                  <c:v>Abruzzo</c:v>
                </c:pt>
                <c:pt idx="14">
                  <c:v>Molise</c:v>
                </c:pt>
                <c:pt idx="15">
                  <c:v>Basilicata</c:v>
                </c:pt>
                <c:pt idx="16">
                  <c:v>Sardegna</c:v>
                </c:pt>
                <c:pt idx="17">
                  <c:v>Calabria</c:v>
                </c:pt>
                <c:pt idx="18">
                  <c:v>Puglia</c:v>
                </c:pt>
                <c:pt idx="19">
                  <c:v>Sicilia</c:v>
                </c:pt>
                <c:pt idx="20">
                  <c:v>Campania</c:v>
                </c:pt>
              </c:strCache>
            </c:strRef>
          </c:cat>
          <c:val>
            <c:numRef>
              <c:f>Foglio1!$B$6:$B$26</c:f>
              <c:numCache>
                <c:formatCode>General</c:formatCode>
                <c:ptCount val="21"/>
                <c:pt idx="0">
                  <c:v>3921</c:v>
                </c:pt>
                <c:pt idx="1">
                  <c:v>2014</c:v>
                </c:pt>
                <c:pt idx="2">
                  <c:v>1034</c:v>
                </c:pt>
                <c:pt idx="3">
                  <c:v>682</c:v>
                </c:pt>
                <c:pt idx="4">
                  <c:v>440</c:v>
                </c:pt>
                <c:pt idx="5">
                  <c:v>368</c:v>
                </c:pt>
                <c:pt idx="6">
                  <c:v>227</c:v>
                </c:pt>
                <c:pt idx="7">
                  <c:v>218</c:v>
                </c:pt>
                <c:pt idx="8">
                  <c:v>129</c:v>
                </c:pt>
                <c:pt idx="9">
                  <c:v>120</c:v>
                </c:pt>
                <c:pt idx="10">
                  <c:v>39</c:v>
                </c:pt>
                <c:pt idx="11">
                  <c:v>37</c:v>
                </c:pt>
                <c:pt idx="12">
                  <c:v>0</c:v>
                </c:pt>
                <c:pt idx="13">
                  <c:v>-104</c:v>
                </c:pt>
                <c:pt idx="14">
                  <c:v>-119</c:v>
                </c:pt>
                <c:pt idx="15">
                  <c:v>-253</c:v>
                </c:pt>
                <c:pt idx="16">
                  <c:v>-312</c:v>
                </c:pt>
                <c:pt idx="17">
                  <c:v>-1277</c:v>
                </c:pt>
                <c:pt idx="18">
                  <c:v>-1743</c:v>
                </c:pt>
                <c:pt idx="19">
                  <c:v>-2592</c:v>
                </c:pt>
                <c:pt idx="20">
                  <c:v>-2886</c:v>
                </c:pt>
              </c:numCache>
            </c:numRef>
          </c:val>
          <c:extLst xmlns:c16r2="http://schemas.microsoft.com/office/drawing/2015/06/chart">
            <c:ext xmlns:c16="http://schemas.microsoft.com/office/drawing/2014/chart" uri="{C3380CC4-5D6E-409C-BE32-E72D297353CC}">
              <c16:uniqueId val="{00000000-0288-40DC-A30D-5A2D0E17E0EE}"/>
            </c:ext>
          </c:extLst>
        </c:ser>
        <c:ser>
          <c:idx val="1"/>
          <c:order val="1"/>
          <c:tx>
            <c:strRef>
              <c:f>Foglio1!$C$5</c:f>
              <c:strCache>
                <c:ptCount val="1"/>
                <c:pt idx="0">
                  <c:v>Saldi migratori 65 e più</c:v>
                </c:pt>
              </c:strCache>
            </c:strRef>
          </c:tx>
          <c:spPr>
            <a:solidFill>
              <a:srgbClr val="E42618"/>
            </a:solidFill>
          </c:spPr>
          <c:invertIfNegative val="0"/>
          <c:cat>
            <c:strRef>
              <c:f>Foglio1!$A$6:$A$26</c:f>
              <c:strCache>
                <c:ptCount val="21"/>
                <c:pt idx="0">
                  <c:v>Lombardia</c:v>
                </c:pt>
                <c:pt idx="1">
                  <c:v>Emilia-Romagna</c:v>
                </c:pt>
                <c:pt idx="2">
                  <c:v>Veneto</c:v>
                </c:pt>
                <c:pt idx="3">
                  <c:v>Piemonte</c:v>
                </c:pt>
                <c:pt idx="4">
                  <c:v>Friuli-V.Giulia</c:v>
                </c:pt>
                <c:pt idx="5">
                  <c:v>Toscana</c:v>
                </c:pt>
                <c:pt idx="6">
                  <c:v>Bolzano/Bozen</c:v>
                </c:pt>
                <c:pt idx="7">
                  <c:v>Lazio</c:v>
                </c:pt>
                <c:pt idx="8">
                  <c:v>Liguria</c:v>
                </c:pt>
                <c:pt idx="9">
                  <c:v>Trento</c:v>
                </c:pt>
                <c:pt idx="10">
                  <c:v>Marche</c:v>
                </c:pt>
                <c:pt idx="11">
                  <c:v>Valle d'Aosta</c:v>
                </c:pt>
                <c:pt idx="12">
                  <c:v>Umbria</c:v>
                </c:pt>
                <c:pt idx="13">
                  <c:v>Abruzzo</c:v>
                </c:pt>
                <c:pt idx="14">
                  <c:v>Molise</c:v>
                </c:pt>
                <c:pt idx="15">
                  <c:v>Basilicata</c:v>
                </c:pt>
                <c:pt idx="16">
                  <c:v>Sardegna</c:v>
                </c:pt>
                <c:pt idx="17">
                  <c:v>Calabria</c:v>
                </c:pt>
                <c:pt idx="18">
                  <c:v>Puglia</c:v>
                </c:pt>
                <c:pt idx="19">
                  <c:v>Sicilia</c:v>
                </c:pt>
                <c:pt idx="20">
                  <c:v>Campania</c:v>
                </c:pt>
              </c:strCache>
            </c:strRef>
          </c:cat>
          <c:val>
            <c:numRef>
              <c:f>Foglio1!$C$6:$C$26</c:f>
              <c:numCache>
                <c:formatCode>General</c:formatCode>
                <c:ptCount val="21"/>
                <c:pt idx="0">
                  <c:v>-16</c:v>
                </c:pt>
                <c:pt idx="1">
                  <c:v>870</c:v>
                </c:pt>
                <c:pt idx="2">
                  <c:v>389</c:v>
                </c:pt>
                <c:pt idx="3">
                  <c:v>340</c:v>
                </c:pt>
                <c:pt idx="4">
                  <c:v>182</c:v>
                </c:pt>
                <c:pt idx="5">
                  <c:v>266</c:v>
                </c:pt>
                <c:pt idx="6">
                  <c:v>12</c:v>
                </c:pt>
                <c:pt idx="7">
                  <c:v>-790</c:v>
                </c:pt>
                <c:pt idx="8">
                  <c:v>21</c:v>
                </c:pt>
                <c:pt idx="9">
                  <c:v>158</c:v>
                </c:pt>
                <c:pt idx="10">
                  <c:v>204</c:v>
                </c:pt>
                <c:pt idx="11">
                  <c:v>32</c:v>
                </c:pt>
                <c:pt idx="12">
                  <c:v>223</c:v>
                </c:pt>
                <c:pt idx="13">
                  <c:v>270</c:v>
                </c:pt>
                <c:pt idx="14">
                  <c:v>-12</c:v>
                </c:pt>
                <c:pt idx="15">
                  <c:v>-150</c:v>
                </c:pt>
                <c:pt idx="16">
                  <c:v>101</c:v>
                </c:pt>
                <c:pt idx="17">
                  <c:v>-369</c:v>
                </c:pt>
                <c:pt idx="18">
                  <c:v>-330</c:v>
                </c:pt>
                <c:pt idx="19">
                  <c:v>-291</c:v>
                </c:pt>
                <c:pt idx="20">
                  <c:v>-1140</c:v>
                </c:pt>
              </c:numCache>
            </c:numRef>
          </c:val>
          <c:extLst xmlns:c16r2="http://schemas.microsoft.com/office/drawing/2015/06/chart">
            <c:ext xmlns:c16="http://schemas.microsoft.com/office/drawing/2014/chart" uri="{C3380CC4-5D6E-409C-BE32-E72D297353CC}">
              <c16:uniqueId val="{00000001-0288-40DC-A30D-5A2D0E17E0EE}"/>
            </c:ext>
          </c:extLst>
        </c:ser>
        <c:dLbls>
          <c:showLegendKey val="0"/>
          <c:showVal val="0"/>
          <c:showCatName val="0"/>
          <c:showSerName val="0"/>
          <c:showPercent val="0"/>
          <c:showBubbleSize val="0"/>
        </c:dLbls>
        <c:gapWidth val="60"/>
        <c:axId val="166436864"/>
        <c:axId val="166438400"/>
      </c:barChart>
      <c:catAx>
        <c:axId val="166436864"/>
        <c:scaling>
          <c:orientation val="minMax"/>
        </c:scaling>
        <c:delete val="0"/>
        <c:axPos val="b"/>
        <c:majorGridlines>
          <c:spPr>
            <a:ln>
              <a:solidFill>
                <a:schemeClr val="bg1"/>
              </a:solidFill>
            </a:ln>
          </c:spPr>
        </c:majorGridlines>
        <c:numFmt formatCode="General" sourceLinked="0"/>
        <c:majorTickMark val="none"/>
        <c:minorTickMark val="none"/>
        <c:tickLblPos val="low"/>
        <c:spPr>
          <a:ln>
            <a:solidFill>
              <a:schemeClr val="bg1"/>
            </a:solidFill>
          </a:ln>
        </c:spPr>
        <c:txPr>
          <a:bodyPr/>
          <a:lstStyle/>
          <a:p>
            <a:pPr>
              <a:defRPr b="1"/>
            </a:pPr>
            <a:endParaRPr lang="it-IT"/>
          </a:p>
        </c:txPr>
        <c:crossAx val="166438400"/>
        <c:crosses val="autoZero"/>
        <c:auto val="1"/>
        <c:lblAlgn val="ctr"/>
        <c:lblOffset val="100"/>
        <c:noMultiLvlLbl val="0"/>
      </c:catAx>
      <c:valAx>
        <c:axId val="166438400"/>
        <c:scaling>
          <c:orientation val="minMax"/>
          <c:min val="-3000"/>
        </c:scaling>
        <c:delete val="0"/>
        <c:axPos val="l"/>
        <c:majorGridlines>
          <c:spPr>
            <a:ln>
              <a:solidFill>
                <a:schemeClr val="bg1"/>
              </a:solidFill>
            </a:ln>
          </c:spPr>
        </c:majorGridlines>
        <c:numFmt formatCode="General" sourceLinked="1"/>
        <c:majorTickMark val="none"/>
        <c:minorTickMark val="none"/>
        <c:tickLblPos val="nextTo"/>
        <c:spPr>
          <a:ln>
            <a:solidFill>
              <a:schemeClr val="bg1"/>
            </a:solidFill>
          </a:ln>
        </c:spPr>
        <c:crossAx val="166436864"/>
        <c:crosses val="autoZero"/>
        <c:crossBetween val="between"/>
        <c:dispUnits>
          <c:builtInUnit val="thousands"/>
        </c:dispUnits>
      </c:valAx>
      <c:spPr>
        <a:noFill/>
      </c:spPr>
    </c:plotArea>
    <c:legend>
      <c:legendPos val="t"/>
      <c:overlay val="0"/>
    </c:legend>
    <c:plotVisOnly val="1"/>
    <c:dispBlanksAs val="gap"/>
    <c:showDLblsOverMax val="0"/>
  </c:chart>
  <c:spPr>
    <a:noFill/>
    <a:ln>
      <a:noFill/>
    </a:ln>
  </c:spPr>
  <c:txPr>
    <a:bodyPr/>
    <a:lstStyle/>
    <a:p>
      <a:pPr>
        <a:defRPr sz="800">
          <a:latin typeface="Arial Narrow" panose="020B0606020202030204"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430348481157498E-2"/>
          <c:y val="0.11974294879806691"/>
          <c:w val="0.93024926654800721"/>
          <c:h val="0.58790624289311832"/>
        </c:manualLayout>
      </c:layout>
      <c:barChart>
        <c:barDir val="col"/>
        <c:grouping val="clustered"/>
        <c:varyColors val="0"/>
        <c:ser>
          <c:idx val="0"/>
          <c:order val="0"/>
          <c:tx>
            <c:strRef>
              <c:f>laureati!$B$31</c:f>
              <c:strCache>
                <c:ptCount val="1"/>
                <c:pt idx="0">
                  <c:v>saldo interno</c:v>
                </c:pt>
              </c:strCache>
            </c:strRef>
          </c:tx>
          <c:spPr>
            <a:solidFill>
              <a:srgbClr val="1F497D"/>
            </a:solidFill>
          </c:spPr>
          <c:invertIfNegative val="0"/>
          <c:cat>
            <c:strRef>
              <c:f>laureati!$A$32:$A$52</c:f>
              <c:strCache>
                <c:ptCount val="21"/>
                <c:pt idx="0">
                  <c:v>Lombardia</c:v>
                </c:pt>
                <c:pt idx="1">
                  <c:v>Emilia-Romagna</c:v>
                </c:pt>
                <c:pt idx="2">
                  <c:v>Liguria</c:v>
                </c:pt>
                <c:pt idx="3">
                  <c:v>Trento</c:v>
                </c:pt>
                <c:pt idx="4">
                  <c:v>Toscana</c:v>
                </c:pt>
                <c:pt idx="5">
                  <c:v>Bolzano</c:v>
                </c:pt>
                <c:pt idx="6">
                  <c:v>Valle d'Aosta</c:v>
                </c:pt>
                <c:pt idx="7">
                  <c:v>Friuli-V.Giulia</c:v>
                </c:pt>
                <c:pt idx="8">
                  <c:v>Umbria</c:v>
                </c:pt>
                <c:pt idx="9">
                  <c:v>Molise</c:v>
                </c:pt>
                <c:pt idx="10">
                  <c:v>Marche</c:v>
                </c:pt>
                <c:pt idx="11">
                  <c:v>Piemonte</c:v>
                </c:pt>
                <c:pt idx="12">
                  <c:v>Sardegna</c:v>
                </c:pt>
                <c:pt idx="13">
                  <c:v>Abruzzo </c:v>
                </c:pt>
                <c:pt idx="14">
                  <c:v>Basilicata</c:v>
                </c:pt>
                <c:pt idx="15">
                  <c:v>Veneto</c:v>
                </c:pt>
                <c:pt idx="16">
                  <c:v>Lazio</c:v>
                </c:pt>
                <c:pt idx="17">
                  <c:v>Calabria</c:v>
                </c:pt>
                <c:pt idx="18">
                  <c:v>Puglia</c:v>
                </c:pt>
                <c:pt idx="19">
                  <c:v>Campania</c:v>
                </c:pt>
                <c:pt idx="20">
                  <c:v>Sicilia</c:v>
                </c:pt>
              </c:strCache>
            </c:strRef>
          </c:cat>
          <c:val>
            <c:numRef>
              <c:f>laureati!$B$32:$B$52</c:f>
              <c:numCache>
                <c:formatCode>General</c:formatCode>
                <c:ptCount val="21"/>
                <c:pt idx="0">
                  <c:v>8227</c:v>
                </c:pt>
                <c:pt idx="1">
                  <c:v>4205</c:v>
                </c:pt>
                <c:pt idx="2">
                  <c:v>1070</c:v>
                </c:pt>
                <c:pt idx="3">
                  <c:v>464</c:v>
                </c:pt>
                <c:pt idx="4">
                  <c:v>906</c:v>
                </c:pt>
                <c:pt idx="5">
                  <c:v>273</c:v>
                </c:pt>
                <c:pt idx="6">
                  <c:v>12</c:v>
                </c:pt>
                <c:pt idx="7">
                  <c:v>162</c:v>
                </c:pt>
                <c:pt idx="8">
                  <c:v>-75</c:v>
                </c:pt>
                <c:pt idx="9">
                  <c:v>-312</c:v>
                </c:pt>
                <c:pt idx="10">
                  <c:v>-153</c:v>
                </c:pt>
                <c:pt idx="11">
                  <c:v>753</c:v>
                </c:pt>
                <c:pt idx="12">
                  <c:v>-202</c:v>
                </c:pt>
                <c:pt idx="13">
                  <c:v>-490</c:v>
                </c:pt>
                <c:pt idx="14">
                  <c:v>-709</c:v>
                </c:pt>
                <c:pt idx="15">
                  <c:v>304</c:v>
                </c:pt>
                <c:pt idx="16">
                  <c:v>-295</c:v>
                </c:pt>
                <c:pt idx="17">
                  <c:v>-2330</c:v>
                </c:pt>
                <c:pt idx="18">
                  <c:v>-3351</c:v>
                </c:pt>
                <c:pt idx="19">
                  <c:v>-4190</c:v>
                </c:pt>
                <c:pt idx="20">
                  <c:v>-4269</c:v>
                </c:pt>
              </c:numCache>
            </c:numRef>
          </c:val>
          <c:extLst xmlns:c16r2="http://schemas.microsoft.com/office/drawing/2015/06/chart">
            <c:ext xmlns:c16="http://schemas.microsoft.com/office/drawing/2014/chart" uri="{C3380CC4-5D6E-409C-BE32-E72D297353CC}">
              <c16:uniqueId val="{00000000-0C08-44F7-B265-CAE92B5CF432}"/>
            </c:ext>
          </c:extLst>
        </c:ser>
        <c:ser>
          <c:idx val="1"/>
          <c:order val="1"/>
          <c:tx>
            <c:strRef>
              <c:f>laureati!$C$31</c:f>
              <c:strCache>
                <c:ptCount val="1"/>
                <c:pt idx="0">
                  <c:v>saldo estero</c:v>
                </c:pt>
              </c:strCache>
            </c:strRef>
          </c:tx>
          <c:spPr>
            <a:solidFill>
              <a:srgbClr val="9BBB59"/>
            </a:solidFill>
          </c:spPr>
          <c:invertIfNegative val="0"/>
          <c:cat>
            <c:strRef>
              <c:f>laureati!$A$32:$A$52</c:f>
              <c:strCache>
                <c:ptCount val="21"/>
                <c:pt idx="0">
                  <c:v>Lombardia</c:v>
                </c:pt>
                <c:pt idx="1">
                  <c:v>Emilia-Romagna</c:v>
                </c:pt>
                <c:pt idx="2">
                  <c:v>Liguria</c:v>
                </c:pt>
                <c:pt idx="3">
                  <c:v>Trento</c:v>
                </c:pt>
                <c:pt idx="4">
                  <c:v>Toscana</c:v>
                </c:pt>
                <c:pt idx="5">
                  <c:v>Bolzano</c:v>
                </c:pt>
                <c:pt idx="6">
                  <c:v>Valle d'Aosta</c:v>
                </c:pt>
                <c:pt idx="7">
                  <c:v>Friuli-V.Giulia</c:v>
                </c:pt>
                <c:pt idx="8">
                  <c:v>Umbria</c:v>
                </c:pt>
                <c:pt idx="9">
                  <c:v>Molise</c:v>
                </c:pt>
                <c:pt idx="10">
                  <c:v>Marche</c:v>
                </c:pt>
                <c:pt idx="11">
                  <c:v>Piemonte</c:v>
                </c:pt>
                <c:pt idx="12">
                  <c:v>Sardegna</c:v>
                </c:pt>
                <c:pt idx="13">
                  <c:v>Abruzzo </c:v>
                </c:pt>
                <c:pt idx="14">
                  <c:v>Basilicata</c:v>
                </c:pt>
                <c:pt idx="15">
                  <c:v>Veneto</c:v>
                </c:pt>
                <c:pt idx="16">
                  <c:v>Lazio</c:v>
                </c:pt>
                <c:pt idx="17">
                  <c:v>Calabria</c:v>
                </c:pt>
                <c:pt idx="18">
                  <c:v>Puglia</c:v>
                </c:pt>
                <c:pt idx="19">
                  <c:v>Campania</c:v>
                </c:pt>
                <c:pt idx="20">
                  <c:v>Sicilia</c:v>
                </c:pt>
              </c:strCache>
            </c:strRef>
          </c:cat>
          <c:val>
            <c:numRef>
              <c:f>laureati!$C$32:$C$52</c:f>
              <c:numCache>
                <c:formatCode>General</c:formatCode>
                <c:ptCount val="21"/>
                <c:pt idx="0">
                  <c:v>-2370</c:v>
                </c:pt>
                <c:pt idx="1">
                  <c:v>-666</c:v>
                </c:pt>
                <c:pt idx="2">
                  <c:v>-472</c:v>
                </c:pt>
                <c:pt idx="3">
                  <c:v>-108</c:v>
                </c:pt>
                <c:pt idx="4">
                  <c:v>-685</c:v>
                </c:pt>
                <c:pt idx="5">
                  <c:v>-137</c:v>
                </c:pt>
                <c:pt idx="6">
                  <c:v>-80</c:v>
                </c:pt>
                <c:pt idx="7">
                  <c:v>-290</c:v>
                </c:pt>
                <c:pt idx="8">
                  <c:v>-266</c:v>
                </c:pt>
                <c:pt idx="9">
                  <c:v>-75</c:v>
                </c:pt>
                <c:pt idx="10">
                  <c:v>-385</c:v>
                </c:pt>
                <c:pt idx="11">
                  <c:v>-1363</c:v>
                </c:pt>
                <c:pt idx="12">
                  <c:v>-520</c:v>
                </c:pt>
                <c:pt idx="13">
                  <c:v>-237</c:v>
                </c:pt>
                <c:pt idx="14">
                  <c:v>-68</c:v>
                </c:pt>
                <c:pt idx="15">
                  <c:v>-1181</c:v>
                </c:pt>
                <c:pt idx="16">
                  <c:v>-1358</c:v>
                </c:pt>
                <c:pt idx="17">
                  <c:v>-582</c:v>
                </c:pt>
                <c:pt idx="18">
                  <c:v>-547</c:v>
                </c:pt>
                <c:pt idx="19">
                  <c:v>-1017</c:v>
                </c:pt>
                <c:pt idx="20">
                  <c:v>-1339</c:v>
                </c:pt>
              </c:numCache>
            </c:numRef>
          </c:val>
          <c:extLst xmlns:c16r2="http://schemas.microsoft.com/office/drawing/2015/06/chart">
            <c:ext xmlns:c16="http://schemas.microsoft.com/office/drawing/2014/chart" uri="{C3380CC4-5D6E-409C-BE32-E72D297353CC}">
              <c16:uniqueId val="{00000001-0C08-44F7-B265-CAE92B5CF432}"/>
            </c:ext>
          </c:extLst>
        </c:ser>
        <c:dLbls>
          <c:showLegendKey val="0"/>
          <c:showVal val="0"/>
          <c:showCatName val="0"/>
          <c:showSerName val="0"/>
          <c:showPercent val="0"/>
          <c:showBubbleSize val="0"/>
        </c:dLbls>
        <c:gapWidth val="60"/>
        <c:axId val="166458496"/>
        <c:axId val="166460032"/>
      </c:barChart>
      <c:lineChart>
        <c:grouping val="standard"/>
        <c:varyColors val="0"/>
        <c:ser>
          <c:idx val="2"/>
          <c:order val="2"/>
          <c:tx>
            <c:strRef>
              <c:f>laureati!$D$31</c:f>
              <c:strCache>
                <c:ptCount val="1"/>
                <c:pt idx="0">
                  <c:v>perdita/guadagno</c:v>
                </c:pt>
              </c:strCache>
            </c:strRef>
          </c:tx>
          <c:spPr>
            <a:ln>
              <a:solidFill>
                <a:srgbClr val="E42618"/>
              </a:solidFill>
              <a:prstDash val="sysDash"/>
            </a:ln>
          </c:spPr>
          <c:marker>
            <c:symbol val="none"/>
          </c:marker>
          <c:cat>
            <c:strRef>
              <c:f>laureati!$A$32:$A$52</c:f>
              <c:strCache>
                <c:ptCount val="21"/>
                <c:pt idx="0">
                  <c:v>Lombardia</c:v>
                </c:pt>
                <c:pt idx="1">
                  <c:v>Emilia-Romagna</c:v>
                </c:pt>
                <c:pt idx="2">
                  <c:v>Liguria</c:v>
                </c:pt>
                <c:pt idx="3">
                  <c:v>Trento</c:v>
                </c:pt>
                <c:pt idx="4">
                  <c:v>Toscana</c:v>
                </c:pt>
                <c:pt idx="5">
                  <c:v>Bolzano</c:v>
                </c:pt>
                <c:pt idx="6">
                  <c:v>Valle d'Aosta</c:v>
                </c:pt>
                <c:pt idx="7">
                  <c:v>Friuli-V.Giulia</c:v>
                </c:pt>
                <c:pt idx="8">
                  <c:v>Umbria</c:v>
                </c:pt>
                <c:pt idx="9">
                  <c:v>Molise</c:v>
                </c:pt>
                <c:pt idx="10">
                  <c:v>Marche</c:v>
                </c:pt>
                <c:pt idx="11">
                  <c:v>Piemonte</c:v>
                </c:pt>
                <c:pt idx="12">
                  <c:v>Sardegna</c:v>
                </c:pt>
                <c:pt idx="13">
                  <c:v>Abruzzo </c:v>
                </c:pt>
                <c:pt idx="14">
                  <c:v>Basilicata</c:v>
                </c:pt>
                <c:pt idx="15">
                  <c:v>Veneto</c:v>
                </c:pt>
                <c:pt idx="16">
                  <c:v>Lazio</c:v>
                </c:pt>
                <c:pt idx="17">
                  <c:v>Calabria</c:v>
                </c:pt>
                <c:pt idx="18">
                  <c:v>Puglia</c:v>
                </c:pt>
                <c:pt idx="19">
                  <c:v>Campania</c:v>
                </c:pt>
                <c:pt idx="20">
                  <c:v>Sicilia</c:v>
                </c:pt>
              </c:strCache>
            </c:strRef>
          </c:cat>
          <c:val>
            <c:numRef>
              <c:f>laureati!$D$32:$D$52</c:f>
              <c:numCache>
                <c:formatCode>General</c:formatCode>
                <c:ptCount val="21"/>
                <c:pt idx="0">
                  <c:v>5857</c:v>
                </c:pt>
                <c:pt idx="1">
                  <c:v>3539</c:v>
                </c:pt>
                <c:pt idx="2">
                  <c:v>598</c:v>
                </c:pt>
                <c:pt idx="3">
                  <c:v>356</c:v>
                </c:pt>
                <c:pt idx="4">
                  <c:v>221</c:v>
                </c:pt>
                <c:pt idx="5">
                  <c:v>136</c:v>
                </c:pt>
                <c:pt idx="6">
                  <c:v>-68</c:v>
                </c:pt>
                <c:pt idx="7">
                  <c:v>-128</c:v>
                </c:pt>
                <c:pt idx="8">
                  <c:v>-341</c:v>
                </c:pt>
                <c:pt idx="9">
                  <c:v>-387</c:v>
                </c:pt>
                <c:pt idx="10">
                  <c:v>-538</c:v>
                </c:pt>
                <c:pt idx="11">
                  <c:v>-610</c:v>
                </c:pt>
                <c:pt idx="12">
                  <c:v>-722</c:v>
                </c:pt>
                <c:pt idx="13">
                  <c:v>-727</c:v>
                </c:pt>
                <c:pt idx="14">
                  <c:v>-777</c:v>
                </c:pt>
                <c:pt idx="15">
                  <c:v>-877</c:v>
                </c:pt>
                <c:pt idx="16">
                  <c:v>-1653</c:v>
                </c:pt>
                <c:pt idx="17">
                  <c:v>-2912</c:v>
                </c:pt>
                <c:pt idx="18">
                  <c:v>-3898</c:v>
                </c:pt>
                <c:pt idx="19">
                  <c:v>-5207</c:v>
                </c:pt>
                <c:pt idx="20">
                  <c:v>-5608</c:v>
                </c:pt>
              </c:numCache>
            </c:numRef>
          </c:val>
          <c:smooth val="0"/>
          <c:extLst xmlns:c16r2="http://schemas.microsoft.com/office/drawing/2015/06/chart">
            <c:ext xmlns:c16="http://schemas.microsoft.com/office/drawing/2014/chart" uri="{C3380CC4-5D6E-409C-BE32-E72D297353CC}">
              <c16:uniqueId val="{00000002-0C08-44F7-B265-CAE92B5CF432}"/>
            </c:ext>
          </c:extLst>
        </c:ser>
        <c:dLbls>
          <c:showLegendKey val="0"/>
          <c:showVal val="0"/>
          <c:showCatName val="0"/>
          <c:showSerName val="0"/>
          <c:showPercent val="0"/>
          <c:showBubbleSize val="0"/>
        </c:dLbls>
        <c:marker val="1"/>
        <c:smooth val="0"/>
        <c:axId val="166458496"/>
        <c:axId val="166460032"/>
      </c:lineChart>
      <c:catAx>
        <c:axId val="166458496"/>
        <c:scaling>
          <c:orientation val="minMax"/>
        </c:scaling>
        <c:delete val="0"/>
        <c:axPos val="b"/>
        <c:majorGridlines>
          <c:spPr>
            <a:ln>
              <a:solidFill>
                <a:schemeClr val="bg1"/>
              </a:solidFill>
            </a:ln>
          </c:spPr>
        </c:majorGridlines>
        <c:numFmt formatCode="General" sourceLinked="0"/>
        <c:majorTickMark val="out"/>
        <c:minorTickMark val="none"/>
        <c:tickLblPos val="low"/>
        <c:spPr>
          <a:ln>
            <a:solidFill>
              <a:schemeClr val="bg1"/>
            </a:solidFill>
          </a:ln>
        </c:spPr>
        <c:txPr>
          <a:bodyPr/>
          <a:lstStyle/>
          <a:p>
            <a:pPr>
              <a:defRPr b="1"/>
            </a:pPr>
            <a:endParaRPr lang="it-IT"/>
          </a:p>
        </c:txPr>
        <c:crossAx val="166460032"/>
        <c:crosses val="autoZero"/>
        <c:auto val="1"/>
        <c:lblAlgn val="ctr"/>
        <c:lblOffset val="100"/>
        <c:noMultiLvlLbl val="0"/>
      </c:catAx>
      <c:valAx>
        <c:axId val="166460032"/>
        <c:scaling>
          <c:orientation val="minMax"/>
        </c:scaling>
        <c:delete val="0"/>
        <c:axPos val="l"/>
        <c:majorGridlines>
          <c:spPr>
            <a:ln>
              <a:solidFill>
                <a:schemeClr val="bg1"/>
              </a:solidFill>
            </a:ln>
          </c:spPr>
        </c:majorGridlines>
        <c:numFmt formatCode="General" sourceLinked="1"/>
        <c:majorTickMark val="none"/>
        <c:minorTickMark val="none"/>
        <c:tickLblPos val="nextTo"/>
        <c:spPr>
          <a:ln>
            <a:solidFill>
              <a:schemeClr val="bg1"/>
            </a:solidFill>
          </a:ln>
        </c:spPr>
        <c:crossAx val="166458496"/>
        <c:crosses val="autoZero"/>
        <c:crossBetween val="between"/>
        <c:dispUnits>
          <c:builtInUnit val="thousands"/>
        </c:dispUnits>
      </c:valAx>
      <c:spPr>
        <a:noFill/>
      </c:spPr>
    </c:plotArea>
    <c:legend>
      <c:legendPos val="t"/>
      <c:overlay val="0"/>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03690447784935E-2"/>
          <c:y val="0.15416247149434187"/>
          <c:w val="0.90908756859937967"/>
          <c:h val="0.74121036099995696"/>
        </c:manualLayout>
      </c:layout>
      <c:barChart>
        <c:barDir val="col"/>
        <c:grouping val="clustered"/>
        <c:varyColors val="0"/>
        <c:ser>
          <c:idx val="1"/>
          <c:order val="0"/>
          <c:tx>
            <c:strRef>
              <c:f>istxsesso!$H$71</c:f>
              <c:strCache>
                <c:ptCount val="1"/>
                <c:pt idx="0">
                  <c:v>M</c:v>
                </c:pt>
              </c:strCache>
            </c:strRef>
          </c:tx>
          <c:spPr>
            <a:solidFill>
              <a:srgbClr val="1F497D"/>
            </a:solidFill>
          </c:spPr>
          <c:invertIfNegative val="0"/>
          <c:cat>
            <c:numRef>
              <c:f>istxsesso!$G$72:$G$81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istxsesso!$H$72:$H$81</c:f>
              <c:numCache>
                <c:formatCode>General</c:formatCode>
                <c:ptCount val="10"/>
                <c:pt idx="0">
                  <c:v>17672</c:v>
                </c:pt>
                <c:pt idx="1">
                  <c:v>17615</c:v>
                </c:pt>
                <c:pt idx="2">
                  <c:v>22508</c:v>
                </c:pt>
                <c:pt idx="3">
                  <c:v>31169</c:v>
                </c:pt>
                <c:pt idx="4">
                  <c:v>37111</c:v>
                </c:pt>
                <c:pt idx="5">
                  <c:v>38528</c:v>
                </c:pt>
                <c:pt idx="6">
                  <c:v>43351</c:v>
                </c:pt>
                <c:pt idx="7">
                  <c:v>47358</c:v>
                </c:pt>
                <c:pt idx="8">
                  <c:v>47340</c:v>
                </c:pt>
                <c:pt idx="9">
                  <c:v>48484</c:v>
                </c:pt>
              </c:numCache>
            </c:numRef>
          </c:val>
          <c:extLst xmlns:c16r2="http://schemas.microsoft.com/office/drawing/2015/06/chart">
            <c:ext xmlns:c16="http://schemas.microsoft.com/office/drawing/2014/chart" uri="{C3380CC4-5D6E-409C-BE32-E72D297353CC}">
              <c16:uniqueId val="{00000000-BB96-4FC3-9D2C-B8CC5A65F210}"/>
            </c:ext>
          </c:extLst>
        </c:ser>
        <c:ser>
          <c:idx val="2"/>
          <c:order val="1"/>
          <c:tx>
            <c:strRef>
              <c:f>istxsesso!$I$71</c:f>
              <c:strCache>
                <c:ptCount val="1"/>
                <c:pt idx="0">
                  <c:v>F</c:v>
                </c:pt>
              </c:strCache>
            </c:strRef>
          </c:tx>
          <c:spPr>
            <a:solidFill>
              <a:srgbClr val="9BBB59"/>
            </a:solidFill>
          </c:spPr>
          <c:invertIfNegative val="0"/>
          <c:cat>
            <c:numRef>
              <c:f>istxsesso!$G$72:$G$81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istxsesso!$I$72:$I$81</c:f>
              <c:numCache>
                <c:formatCode>General</c:formatCode>
                <c:ptCount val="10"/>
                <c:pt idx="0">
                  <c:v>12214</c:v>
                </c:pt>
                <c:pt idx="1">
                  <c:v>12227</c:v>
                </c:pt>
                <c:pt idx="2">
                  <c:v>15662</c:v>
                </c:pt>
                <c:pt idx="3">
                  <c:v>21444</c:v>
                </c:pt>
                <c:pt idx="4">
                  <c:v>25195</c:v>
                </c:pt>
                <c:pt idx="5">
                  <c:v>26472</c:v>
                </c:pt>
                <c:pt idx="6">
                  <c:v>30072</c:v>
                </c:pt>
                <c:pt idx="7">
                  <c:v>33948</c:v>
                </c:pt>
                <c:pt idx="8">
                  <c:v>34888</c:v>
                </c:pt>
                <c:pt idx="9">
                  <c:v>35555</c:v>
                </c:pt>
              </c:numCache>
            </c:numRef>
          </c:val>
          <c:extLst xmlns:c16r2="http://schemas.microsoft.com/office/drawing/2015/06/chart">
            <c:ext xmlns:c16="http://schemas.microsoft.com/office/drawing/2014/chart" uri="{C3380CC4-5D6E-409C-BE32-E72D297353CC}">
              <c16:uniqueId val="{00000001-BB96-4FC3-9D2C-B8CC5A65F210}"/>
            </c:ext>
          </c:extLst>
        </c:ser>
        <c:dLbls>
          <c:showLegendKey val="0"/>
          <c:showVal val="0"/>
          <c:showCatName val="0"/>
          <c:showSerName val="0"/>
          <c:showPercent val="0"/>
          <c:showBubbleSize val="0"/>
        </c:dLbls>
        <c:gapWidth val="80"/>
        <c:axId val="166029952"/>
        <c:axId val="166036224"/>
      </c:barChart>
      <c:lineChart>
        <c:grouping val="standard"/>
        <c:varyColors val="0"/>
        <c:ser>
          <c:idx val="4"/>
          <c:order val="2"/>
          <c:tx>
            <c:strRef>
              <c:f>istxsesso!$N$71</c:f>
              <c:strCache>
                <c:ptCount val="1"/>
                <c:pt idx="0">
                  <c:v>%f laureate</c:v>
                </c:pt>
              </c:strCache>
            </c:strRef>
          </c:tx>
          <c:spPr>
            <a:ln>
              <a:noFill/>
            </a:ln>
          </c:spPr>
          <c:marker>
            <c:symbol val="circle"/>
            <c:size val="9"/>
            <c:spPr>
              <a:solidFill>
                <a:srgbClr val="666699"/>
              </a:solidFill>
              <a:ln>
                <a:noFill/>
              </a:ln>
            </c:spPr>
          </c:marker>
          <c:val>
            <c:numRef>
              <c:f>istxsesso!$N$72:$N$81</c:f>
              <c:numCache>
                <c:formatCode>0.0</c:formatCode>
                <c:ptCount val="10"/>
                <c:pt idx="0">
                  <c:v>24.82397249058458</c:v>
                </c:pt>
                <c:pt idx="1">
                  <c:v>28.257135846896219</c:v>
                </c:pt>
                <c:pt idx="2">
                  <c:v>24.76056697739752</c:v>
                </c:pt>
                <c:pt idx="3">
                  <c:v>28.609401231113591</c:v>
                </c:pt>
                <c:pt idx="4">
                  <c:v>31.668981940861279</c:v>
                </c:pt>
                <c:pt idx="5">
                  <c:v>32.120731338773062</c:v>
                </c:pt>
                <c:pt idx="6">
                  <c:v>33.788906624102161</c:v>
                </c:pt>
                <c:pt idx="7">
                  <c:v>33.312713561918223</c:v>
                </c:pt>
                <c:pt idx="8">
                  <c:v>34.676679660628302</c:v>
                </c:pt>
                <c:pt idx="9">
                  <c:v>35.438053719589369</c:v>
                </c:pt>
              </c:numCache>
            </c:numRef>
          </c:val>
          <c:smooth val="0"/>
          <c:extLst xmlns:c16r2="http://schemas.microsoft.com/office/drawing/2015/06/chart">
            <c:ext xmlns:c16="http://schemas.microsoft.com/office/drawing/2014/chart" uri="{C3380CC4-5D6E-409C-BE32-E72D297353CC}">
              <c16:uniqueId val="{00000002-BB96-4FC3-9D2C-B8CC5A65F210}"/>
            </c:ext>
          </c:extLst>
        </c:ser>
        <c:ser>
          <c:idx val="0"/>
          <c:order val="3"/>
          <c:tx>
            <c:strRef>
              <c:f>istxsesso!$O$71</c:f>
              <c:strCache>
                <c:ptCount val="1"/>
                <c:pt idx="0">
                  <c:v>%m laureati</c:v>
                </c:pt>
              </c:strCache>
            </c:strRef>
          </c:tx>
          <c:spPr>
            <a:ln w="28575">
              <a:noFill/>
            </a:ln>
          </c:spPr>
          <c:marker>
            <c:symbol val="triangle"/>
            <c:size val="7"/>
            <c:spPr>
              <a:solidFill>
                <a:srgbClr val="E42618"/>
              </a:solidFill>
              <a:ln>
                <a:solidFill>
                  <a:srgbClr val="E42618"/>
                </a:solidFill>
              </a:ln>
            </c:spPr>
          </c:marker>
          <c:val>
            <c:numRef>
              <c:f>istxsesso!$O$72:$O$81</c:f>
              <c:numCache>
                <c:formatCode>0.0</c:formatCode>
                <c:ptCount val="10"/>
                <c:pt idx="0">
                  <c:v>23.68718877320055</c:v>
                </c:pt>
                <c:pt idx="1">
                  <c:v>26.630712460970759</c:v>
                </c:pt>
                <c:pt idx="2">
                  <c:v>23.085125288786209</c:v>
                </c:pt>
                <c:pt idx="3">
                  <c:v>26.924187493984409</c:v>
                </c:pt>
                <c:pt idx="4">
                  <c:v>29.912963811268892</c:v>
                </c:pt>
                <c:pt idx="5">
                  <c:v>28.65708056478406</c:v>
                </c:pt>
                <c:pt idx="6">
                  <c:v>28.719060690641509</c:v>
                </c:pt>
                <c:pt idx="7">
                  <c:v>28.312006419189991</c:v>
                </c:pt>
                <c:pt idx="8">
                  <c:v>28.542458808618509</c:v>
                </c:pt>
                <c:pt idx="9">
                  <c:v>29.865522646646301</c:v>
                </c:pt>
              </c:numCache>
            </c:numRef>
          </c:val>
          <c:smooth val="0"/>
          <c:extLst xmlns:c16r2="http://schemas.microsoft.com/office/drawing/2015/06/chart">
            <c:ext xmlns:c16="http://schemas.microsoft.com/office/drawing/2014/chart" uri="{C3380CC4-5D6E-409C-BE32-E72D297353CC}">
              <c16:uniqueId val="{00000003-BB96-4FC3-9D2C-B8CC5A65F210}"/>
            </c:ext>
          </c:extLst>
        </c:ser>
        <c:dLbls>
          <c:showLegendKey val="0"/>
          <c:showVal val="0"/>
          <c:showCatName val="0"/>
          <c:showSerName val="0"/>
          <c:showPercent val="0"/>
          <c:showBubbleSize val="0"/>
        </c:dLbls>
        <c:marker val="1"/>
        <c:smooth val="0"/>
        <c:axId val="166040320"/>
        <c:axId val="166038144"/>
      </c:lineChart>
      <c:catAx>
        <c:axId val="166029952"/>
        <c:scaling>
          <c:orientation val="minMax"/>
        </c:scaling>
        <c:delete val="0"/>
        <c:axPos val="b"/>
        <c:majorGridlines>
          <c:spPr>
            <a:ln>
              <a:solidFill>
                <a:schemeClr val="bg1"/>
              </a:solidFill>
            </a:ln>
          </c:spPr>
        </c:majorGridlines>
        <c:numFmt formatCode="General" sourceLinked="1"/>
        <c:majorTickMark val="none"/>
        <c:minorTickMark val="none"/>
        <c:tickLblPos val="nextTo"/>
        <c:spPr>
          <a:ln>
            <a:solidFill>
              <a:schemeClr val="bg1"/>
            </a:solidFill>
          </a:ln>
        </c:spPr>
        <c:txPr>
          <a:bodyPr/>
          <a:lstStyle/>
          <a:p>
            <a:pPr>
              <a:defRPr b="1"/>
            </a:pPr>
            <a:endParaRPr lang="it-IT"/>
          </a:p>
        </c:txPr>
        <c:crossAx val="166036224"/>
        <c:crosses val="autoZero"/>
        <c:auto val="1"/>
        <c:lblAlgn val="ctr"/>
        <c:lblOffset val="100"/>
        <c:noMultiLvlLbl val="0"/>
      </c:catAx>
      <c:valAx>
        <c:axId val="166036224"/>
        <c:scaling>
          <c:orientation val="minMax"/>
        </c:scaling>
        <c:delete val="0"/>
        <c:axPos val="l"/>
        <c:majorGridlines>
          <c:spPr>
            <a:ln>
              <a:solidFill>
                <a:schemeClr val="bg1"/>
              </a:solidFill>
            </a:ln>
          </c:spPr>
        </c:majorGridlines>
        <c:numFmt formatCode="General" sourceLinked="1"/>
        <c:majorTickMark val="none"/>
        <c:minorTickMark val="none"/>
        <c:tickLblPos val="nextTo"/>
        <c:spPr>
          <a:ln>
            <a:solidFill>
              <a:schemeClr val="bg1"/>
            </a:solidFill>
          </a:ln>
        </c:spPr>
        <c:crossAx val="166029952"/>
        <c:crosses val="autoZero"/>
        <c:crossBetween val="between"/>
        <c:dispUnits>
          <c:builtInUnit val="thousands"/>
        </c:dispUnits>
      </c:valAx>
      <c:valAx>
        <c:axId val="166038144"/>
        <c:scaling>
          <c:orientation val="minMax"/>
        </c:scaling>
        <c:delete val="0"/>
        <c:axPos val="r"/>
        <c:title>
          <c:tx>
            <c:rich>
              <a:bodyPr rot="0" vert="horz"/>
              <a:lstStyle/>
              <a:p>
                <a:pPr>
                  <a:defRPr/>
                </a:pPr>
                <a:r>
                  <a:rPr lang="it-IT" b="0"/>
                  <a:t>%</a:t>
                </a:r>
              </a:p>
            </c:rich>
          </c:tx>
          <c:layout>
            <c:manualLayout>
              <c:xMode val="edge"/>
              <c:yMode val="edge"/>
              <c:x val="0.96597856821469463"/>
              <c:y val="0.91501183253732632"/>
            </c:manualLayout>
          </c:layout>
          <c:overlay val="0"/>
        </c:title>
        <c:numFmt formatCode="0" sourceLinked="0"/>
        <c:majorTickMark val="none"/>
        <c:minorTickMark val="none"/>
        <c:tickLblPos val="nextTo"/>
        <c:spPr>
          <a:ln>
            <a:solidFill>
              <a:schemeClr val="bg1"/>
            </a:solidFill>
          </a:ln>
        </c:spPr>
        <c:crossAx val="166040320"/>
        <c:crosses val="max"/>
        <c:crossBetween val="between"/>
      </c:valAx>
      <c:catAx>
        <c:axId val="166040320"/>
        <c:scaling>
          <c:orientation val="minMax"/>
        </c:scaling>
        <c:delete val="1"/>
        <c:axPos val="b"/>
        <c:majorTickMark val="out"/>
        <c:minorTickMark val="none"/>
        <c:tickLblPos val="nextTo"/>
        <c:crossAx val="166038144"/>
        <c:crosses val="autoZero"/>
        <c:auto val="1"/>
        <c:lblAlgn val="ctr"/>
        <c:lblOffset val="100"/>
        <c:noMultiLvlLbl val="0"/>
      </c:catAx>
      <c:spPr>
        <a:noFill/>
      </c:spPr>
    </c:plotArea>
    <c:legend>
      <c:legendPos val="t"/>
      <c:layout>
        <c:manualLayout>
          <c:xMode val="edge"/>
          <c:yMode val="edge"/>
          <c:x val="0.28701407778573135"/>
          <c:y val="2.7322404371584699E-2"/>
          <c:w val="0.42395164240833533"/>
          <c:h val="9.405318187685556E-2"/>
        </c:manualLayout>
      </c:layout>
      <c:overlay val="0"/>
    </c:legend>
    <c:plotVisOnly val="1"/>
    <c:dispBlanksAs val="gap"/>
    <c:showDLblsOverMax val="0"/>
  </c:chart>
  <c:spPr>
    <a:noFill/>
    <a:ln>
      <a:noFill/>
    </a:ln>
  </c:spPr>
  <c:txPr>
    <a:bodyPr/>
    <a:lstStyle/>
    <a:p>
      <a:pPr>
        <a:defRPr sz="800">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4.139027919223031E-2"/>
          <c:y val="0.1250391011880487"/>
          <c:w val="0.93642958717305447"/>
          <c:h val="0.75842546574108516"/>
        </c:manualLayout>
      </c:layout>
      <c:barChart>
        <c:barDir val="col"/>
        <c:grouping val="clustered"/>
        <c:varyColors val="0"/>
        <c:ser>
          <c:idx val="0"/>
          <c:order val="0"/>
          <c:tx>
            <c:strRef>
              <c:f>'aree provenienza'!$A$25</c:f>
              <c:strCache>
                <c:ptCount val="1"/>
                <c:pt idx="0">
                  <c:v>Europa</c:v>
                </c:pt>
              </c:strCache>
            </c:strRef>
          </c:tx>
          <c:spPr>
            <a:solidFill>
              <a:srgbClr val="1F497D"/>
            </a:solidFill>
            <a:ln>
              <a:noFill/>
            </a:ln>
            <a:effectLst/>
          </c:spPr>
          <c:invertIfNegative val="0"/>
          <c:val>
            <c:numRef>
              <c:f>'aree provenienza'!$B$25:$K$25</c:f>
              <c:numCache>
                <c:formatCode>General</c:formatCode>
                <c:ptCount val="10"/>
                <c:pt idx="0">
                  <c:v>231775</c:v>
                </c:pt>
                <c:pt idx="1">
                  <c:v>231436</c:v>
                </c:pt>
                <c:pt idx="2">
                  <c:v>198336</c:v>
                </c:pt>
                <c:pt idx="3">
                  <c:v>170684</c:v>
                </c:pt>
                <c:pt idx="4">
                  <c:v>140443</c:v>
                </c:pt>
                <c:pt idx="5">
                  <c:v>120137</c:v>
                </c:pt>
                <c:pt idx="6">
                  <c:v>113823</c:v>
                </c:pt>
                <c:pt idx="7">
                  <c:v>116745</c:v>
                </c:pt>
                <c:pt idx="8">
                  <c:v>119027</c:v>
                </c:pt>
                <c:pt idx="9">
                  <c:v>120186</c:v>
                </c:pt>
              </c:numCache>
            </c:numRef>
          </c:val>
          <c:extLst xmlns:c16r2="http://schemas.microsoft.com/office/drawing/2015/06/chart">
            <c:ext xmlns:c16="http://schemas.microsoft.com/office/drawing/2014/chart" uri="{C3380CC4-5D6E-409C-BE32-E72D297353CC}">
              <c16:uniqueId val="{00000000-89F9-449C-B639-63CDE080DBBC}"/>
            </c:ext>
          </c:extLst>
        </c:ser>
        <c:ser>
          <c:idx val="2"/>
          <c:order val="1"/>
          <c:tx>
            <c:strRef>
              <c:f>'aree provenienza'!$A$26</c:f>
              <c:strCache>
                <c:ptCount val="1"/>
                <c:pt idx="0">
                  <c:v>Africa</c:v>
                </c:pt>
              </c:strCache>
            </c:strRef>
          </c:tx>
          <c:spPr>
            <a:solidFill>
              <a:srgbClr val="E42618"/>
            </a:solidFill>
            <a:ln>
              <a:noFill/>
            </a:ln>
            <a:effectLst/>
          </c:spPr>
          <c:invertIfNegative val="0"/>
          <c:cat>
            <c:numRef>
              <c:f>'aree provenienza'!$B$22:$K$22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'aree provenienza'!$B$26:$K$26</c:f>
              <c:numCache>
                <c:formatCode>General</c:formatCode>
                <c:ptCount val="10"/>
                <c:pt idx="0">
                  <c:v>70400</c:v>
                </c:pt>
                <c:pt idx="1">
                  <c:v>76669</c:v>
                </c:pt>
                <c:pt idx="2">
                  <c:v>66325</c:v>
                </c:pt>
                <c:pt idx="3">
                  <c:v>66798</c:v>
                </c:pt>
                <c:pt idx="4">
                  <c:v>64592</c:v>
                </c:pt>
                <c:pt idx="5">
                  <c:v>59331</c:v>
                </c:pt>
                <c:pt idx="6">
                  <c:v>68245</c:v>
                </c:pt>
                <c:pt idx="7">
                  <c:v>81011</c:v>
                </c:pt>
                <c:pt idx="8">
                  <c:v>110344</c:v>
                </c:pt>
                <c:pt idx="9">
                  <c:v>91963</c:v>
                </c:pt>
              </c:numCache>
            </c:numRef>
          </c:val>
          <c:extLst xmlns:c16r2="http://schemas.microsoft.com/office/drawing/2015/06/chart">
            <c:ext xmlns:c16="http://schemas.microsoft.com/office/drawing/2014/chart" uri="{C3380CC4-5D6E-409C-BE32-E72D297353CC}">
              <c16:uniqueId val="{00000001-89F9-449C-B639-63CDE080DBBC}"/>
            </c:ext>
          </c:extLst>
        </c:ser>
        <c:ser>
          <c:idx val="3"/>
          <c:order val="2"/>
          <c:tx>
            <c:strRef>
              <c:f>'aree provenienza'!$A$27</c:f>
              <c:strCache>
                <c:ptCount val="1"/>
                <c:pt idx="0">
                  <c:v>Asia</c:v>
                </c:pt>
              </c:strCache>
            </c:strRef>
          </c:tx>
          <c:spPr>
            <a:solidFill>
              <a:srgbClr val="9BBB59"/>
            </a:solidFill>
            <a:ln>
              <a:noFill/>
            </a:ln>
            <a:effectLst/>
          </c:spPr>
          <c:invertIfNegative val="0"/>
          <c:cat>
            <c:numRef>
              <c:f>'aree provenienza'!$B$22:$K$22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'aree provenienza'!$B$27:$K$27</c:f>
              <c:numCache>
                <c:formatCode>General</c:formatCode>
                <c:ptCount val="10"/>
                <c:pt idx="0">
                  <c:v>70740</c:v>
                </c:pt>
                <c:pt idx="1">
                  <c:v>87674</c:v>
                </c:pt>
                <c:pt idx="2">
                  <c:v>77995</c:v>
                </c:pt>
                <c:pt idx="3">
                  <c:v>77870</c:v>
                </c:pt>
                <c:pt idx="4">
                  <c:v>71638</c:v>
                </c:pt>
                <c:pt idx="5">
                  <c:v>70868</c:v>
                </c:pt>
                <c:pt idx="6">
                  <c:v>69655</c:v>
                </c:pt>
                <c:pt idx="7">
                  <c:v>67615</c:v>
                </c:pt>
                <c:pt idx="8">
                  <c:v>69166</c:v>
                </c:pt>
                <c:pt idx="9">
                  <c:v>66541</c:v>
                </c:pt>
              </c:numCache>
            </c:numRef>
          </c:val>
          <c:extLst xmlns:c16r2="http://schemas.microsoft.com/office/drawing/2015/06/chart">
            <c:ext xmlns:c16="http://schemas.microsoft.com/office/drawing/2014/chart" uri="{C3380CC4-5D6E-409C-BE32-E72D297353CC}">
              <c16:uniqueId val="{00000002-89F9-449C-B639-63CDE080DBBC}"/>
            </c:ext>
          </c:extLst>
        </c:ser>
        <c:ser>
          <c:idx val="4"/>
          <c:order val="3"/>
          <c:tx>
            <c:strRef>
              <c:f>'aree provenienza'!$A$28</c:f>
              <c:strCache>
                <c:ptCount val="1"/>
                <c:pt idx="0">
                  <c:v>America</c:v>
                </c:pt>
              </c:strCache>
            </c:strRef>
          </c:tx>
          <c:spPr>
            <a:solidFill>
              <a:srgbClr val="666699"/>
            </a:solidFill>
            <a:ln>
              <a:noFill/>
            </a:ln>
            <a:effectLst/>
          </c:spPr>
          <c:invertIfNegative val="0"/>
          <c:cat>
            <c:numRef>
              <c:f>'aree provenienza'!$B$22:$K$22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'aree provenienza'!$B$28:$K$28</c:f>
              <c:numCache>
                <c:formatCode>General</c:formatCode>
                <c:ptCount val="10"/>
                <c:pt idx="0">
                  <c:v>48174</c:v>
                </c:pt>
                <c:pt idx="1">
                  <c:v>51203</c:v>
                </c:pt>
                <c:pt idx="2">
                  <c:v>42399</c:v>
                </c:pt>
                <c:pt idx="3">
                  <c:v>34650</c:v>
                </c:pt>
                <c:pt idx="4">
                  <c:v>29932</c:v>
                </c:pt>
                <c:pt idx="5">
                  <c:v>26460</c:v>
                </c:pt>
                <c:pt idx="6">
                  <c:v>27592</c:v>
                </c:pt>
                <c:pt idx="7">
                  <c:v>34536</c:v>
                </c:pt>
                <c:pt idx="8">
                  <c:v>43925</c:v>
                </c:pt>
                <c:pt idx="9">
                  <c:v>52484</c:v>
                </c:pt>
              </c:numCache>
            </c:numRef>
          </c:val>
          <c:extLst xmlns:c16r2="http://schemas.microsoft.com/office/drawing/2015/06/chart">
            <c:ext xmlns:c16="http://schemas.microsoft.com/office/drawing/2014/chart" uri="{C3380CC4-5D6E-409C-BE32-E72D297353CC}">
              <c16:uniqueId val="{00000003-89F9-449C-B639-63CDE080DBBC}"/>
            </c:ext>
          </c:extLst>
        </c:ser>
        <c:ser>
          <c:idx val="5"/>
          <c:order val="4"/>
          <c:tx>
            <c:strRef>
              <c:f>'aree provenienza'!$A$29</c:f>
              <c:strCache>
                <c:ptCount val="1"/>
                <c:pt idx="0">
                  <c:v>Oceania</c:v>
                </c:pt>
              </c:strCache>
            </c:strRef>
          </c:tx>
          <c:spPr>
            <a:solidFill>
              <a:schemeClr val="bg1">
                <a:lumMod val="50000"/>
              </a:schemeClr>
            </a:solidFill>
            <a:ln>
              <a:solidFill>
                <a:schemeClr val="bg1">
                  <a:lumMod val="50000"/>
                </a:schemeClr>
              </a:solidFill>
            </a:ln>
            <a:effectLst/>
          </c:spPr>
          <c:invertIfNegative val="0"/>
          <c:cat>
            <c:numRef>
              <c:f>'aree provenienza'!$B$22:$K$22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'aree provenienza'!$B$29:$K$29</c:f>
              <c:numCache>
                <c:formatCode>General</c:formatCode>
                <c:ptCount val="10"/>
                <c:pt idx="0">
                  <c:v>770</c:v>
                </c:pt>
                <c:pt idx="1">
                  <c:v>762</c:v>
                </c:pt>
                <c:pt idx="2">
                  <c:v>738</c:v>
                </c:pt>
                <c:pt idx="3">
                  <c:v>770</c:v>
                </c:pt>
                <c:pt idx="4">
                  <c:v>849</c:v>
                </c:pt>
                <c:pt idx="5">
                  <c:v>835</c:v>
                </c:pt>
                <c:pt idx="6">
                  <c:v>763</c:v>
                </c:pt>
                <c:pt idx="7">
                  <c:v>916</c:v>
                </c:pt>
                <c:pt idx="8">
                  <c:v>978</c:v>
                </c:pt>
                <c:pt idx="9">
                  <c:v>1150</c:v>
                </c:pt>
              </c:numCache>
            </c:numRef>
          </c:val>
          <c:extLst xmlns:c16r2="http://schemas.microsoft.com/office/drawing/2015/06/chart">
            <c:ext xmlns:c16="http://schemas.microsoft.com/office/drawing/2014/chart" uri="{C3380CC4-5D6E-409C-BE32-E72D297353CC}">
              <c16:uniqueId val="{00000004-89F9-449C-B639-63CDE080DBBC}"/>
            </c:ext>
          </c:extLst>
        </c:ser>
        <c:dLbls>
          <c:showLegendKey val="0"/>
          <c:showVal val="0"/>
          <c:showCatName val="0"/>
          <c:showSerName val="0"/>
          <c:showPercent val="0"/>
          <c:showBubbleSize val="0"/>
        </c:dLbls>
        <c:gapWidth val="80"/>
        <c:axId val="166070912"/>
        <c:axId val="166073088"/>
      </c:barChart>
      <c:lineChart>
        <c:grouping val="standard"/>
        <c:varyColors val="0"/>
        <c:ser>
          <c:idx val="1"/>
          <c:order val="5"/>
          <c:tx>
            <c:strRef>
              <c:f>'aree provenienza'!$A$30</c:f>
              <c:strCache>
                <c:ptCount val="1"/>
                <c:pt idx="0">
                  <c:v>totale</c:v>
                </c:pt>
              </c:strCache>
            </c:strRef>
          </c:tx>
          <c:spPr>
            <a:ln w="25400">
              <a:solidFill>
                <a:srgbClr val="C00000"/>
              </a:solidFill>
            </a:ln>
            <a:effectLst/>
          </c:spPr>
          <c:marker>
            <c:symbol val="diamond"/>
            <c:size val="7"/>
            <c:spPr>
              <a:solidFill>
                <a:srgbClr val="C00000"/>
              </a:solidFill>
              <a:ln>
                <a:noFill/>
              </a:ln>
              <a:effectLst/>
            </c:spPr>
          </c:marker>
          <c:val>
            <c:numRef>
              <c:f>'aree provenienza'!$B$30:$K$30</c:f>
              <c:numCache>
                <c:formatCode>General</c:formatCode>
                <c:ptCount val="10"/>
                <c:pt idx="0">
                  <c:v>421859</c:v>
                </c:pt>
                <c:pt idx="1">
                  <c:v>447744</c:v>
                </c:pt>
                <c:pt idx="2">
                  <c:v>385793</c:v>
                </c:pt>
                <c:pt idx="3">
                  <c:v>350772</c:v>
                </c:pt>
                <c:pt idx="4">
                  <c:v>307454</c:v>
                </c:pt>
                <c:pt idx="5">
                  <c:v>277631</c:v>
                </c:pt>
                <c:pt idx="6">
                  <c:v>280078</c:v>
                </c:pt>
                <c:pt idx="7">
                  <c:v>300823</c:v>
                </c:pt>
                <c:pt idx="8">
                  <c:v>343440</c:v>
                </c:pt>
                <c:pt idx="9">
                  <c:v>332324</c:v>
                </c:pt>
              </c:numCache>
            </c:numRef>
          </c:val>
          <c:smooth val="0"/>
          <c:extLst xmlns:c16r2="http://schemas.microsoft.com/office/drawing/2015/06/chart">
            <c:ext xmlns:c16="http://schemas.microsoft.com/office/drawing/2014/chart" uri="{C3380CC4-5D6E-409C-BE32-E72D297353CC}">
              <c16:uniqueId val="{00000005-89F9-449C-B639-63CDE080DBBC}"/>
            </c:ext>
          </c:extLst>
        </c:ser>
        <c:dLbls>
          <c:showLegendKey val="0"/>
          <c:showVal val="0"/>
          <c:showCatName val="0"/>
          <c:showSerName val="0"/>
          <c:showPercent val="0"/>
          <c:showBubbleSize val="0"/>
        </c:dLbls>
        <c:marker val="1"/>
        <c:smooth val="0"/>
        <c:axId val="166070912"/>
        <c:axId val="166073088"/>
      </c:lineChart>
      <c:catAx>
        <c:axId val="166070912"/>
        <c:scaling>
          <c:orientation val="minMax"/>
        </c:scaling>
        <c:delete val="0"/>
        <c:axPos val="b"/>
        <c:majorGridlines>
          <c:spPr>
            <a:ln>
              <a:solidFill>
                <a:schemeClr val="bg1"/>
              </a:solidFill>
            </a:ln>
          </c:spPr>
        </c:majorGridlines>
        <c:numFmt formatCode="General" sourceLinked="1"/>
        <c:majorTickMark val="none"/>
        <c:minorTickMark val="none"/>
        <c:tickLblPos val="nextTo"/>
        <c:spPr>
          <a:ln>
            <a:solidFill>
              <a:schemeClr val="bg1"/>
            </a:solidFill>
          </a:ln>
        </c:spPr>
        <c:txPr>
          <a:bodyPr/>
          <a:lstStyle/>
          <a:p>
            <a:pPr>
              <a:defRPr b="1"/>
            </a:pPr>
            <a:endParaRPr lang="it-IT"/>
          </a:p>
        </c:txPr>
        <c:crossAx val="166073088"/>
        <c:crosses val="autoZero"/>
        <c:auto val="1"/>
        <c:lblAlgn val="ctr"/>
        <c:lblOffset val="100"/>
        <c:noMultiLvlLbl val="0"/>
      </c:catAx>
      <c:valAx>
        <c:axId val="166073088"/>
        <c:scaling>
          <c:orientation val="minMax"/>
        </c:scaling>
        <c:delete val="0"/>
        <c:axPos val="l"/>
        <c:majorGridlines>
          <c:spPr>
            <a:ln>
              <a:solidFill>
                <a:schemeClr val="bg1"/>
              </a:solidFill>
            </a:ln>
          </c:spPr>
        </c:majorGridlines>
        <c:numFmt formatCode="General" sourceLinked="1"/>
        <c:majorTickMark val="none"/>
        <c:minorTickMark val="none"/>
        <c:tickLblPos val="nextTo"/>
        <c:spPr>
          <a:ln>
            <a:solidFill>
              <a:schemeClr val="bg1"/>
            </a:solidFill>
          </a:ln>
        </c:spPr>
        <c:crossAx val="166070912"/>
        <c:crosses val="autoZero"/>
        <c:crossBetween val="between"/>
        <c:dispUnits>
          <c:builtInUnit val="thousands"/>
        </c:dispUnits>
      </c:valAx>
      <c:spPr>
        <a:noFill/>
      </c:spPr>
    </c:plotArea>
    <c:legend>
      <c:legendPos val="t"/>
      <c:layout>
        <c:manualLayout>
          <c:xMode val="edge"/>
          <c:yMode val="edge"/>
          <c:x val="2.2222222222222199E-2"/>
          <c:y val="0"/>
          <c:w val="0.95682538559084596"/>
          <c:h val="8.3717191601049901E-2"/>
        </c:manualLayout>
      </c:layout>
      <c:overlay val="0"/>
    </c:legend>
    <c:plotVisOnly val="1"/>
    <c:dispBlanksAs val="gap"/>
    <c:showDLblsOverMax val="0"/>
  </c:chart>
  <c:spPr>
    <a:noFill/>
    <a:ln>
      <a:noFill/>
    </a:ln>
  </c:spPr>
  <c:txPr>
    <a:bodyPr/>
    <a:lstStyle/>
    <a:p>
      <a:pPr>
        <a:defRPr sz="800">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446289236469874E-2"/>
          <c:y val="0.14151043869005167"/>
          <c:w val="0.93521011231062179"/>
          <c:h val="0.44040154574774093"/>
        </c:manualLayout>
      </c:layout>
      <c:barChart>
        <c:barDir val="col"/>
        <c:grouping val="clustered"/>
        <c:varyColors val="0"/>
        <c:ser>
          <c:idx val="1"/>
          <c:order val="0"/>
          <c:tx>
            <c:strRef>
              <c:f>regximmi!$M$56</c:f>
              <c:strCache>
                <c:ptCount val="1"/>
                <c:pt idx="0">
                  <c:v>tassi di immigratorietà 2009</c:v>
                </c:pt>
              </c:strCache>
            </c:strRef>
          </c:tx>
          <c:spPr>
            <a:solidFill>
              <a:srgbClr val="E42618"/>
            </a:solidFill>
          </c:spPr>
          <c:invertIfNegative val="0"/>
          <c:dPt>
            <c:idx val="12"/>
            <c:invertIfNegative val="0"/>
            <c:bubble3D val="0"/>
            <c:spPr>
              <a:pattFill prst="dkUpDiag">
                <a:fgClr>
                  <a:srgbClr val="E42618"/>
                </a:fgClr>
                <a:bgClr>
                  <a:schemeClr val="bg1"/>
                </a:bgClr>
              </a:pattFill>
              <a:ln w="19050">
                <a:solidFill>
                  <a:srgbClr val="E42618"/>
                </a:solidFill>
              </a:ln>
            </c:spPr>
            <c:extLst xmlns:c16r2="http://schemas.microsoft.com/office/drawing/2015/06/chart">
              <c:ext xmlns:c16="http://schemas.microsoft.com/office/drawing/2014/chart" uri="{C3380CC4-5D6E-409C-BE32-E72D297353CC}">
                <c16:uniqueId val="{00000001-3948-4CD1-BF8B-5721587936C9}"/>
              </c:ext>
            </c:extLst>
          </c:dPt>
          <c:dPt>
            <c:idx val="13"/>
            <c:invertIfNegative val="0"/>
            <c:bubble3D val="0"/>
            <c:extLst xmlns:c16r2="http://schemas.microsoft.com/office/drawing/2015/06/chart">
              <c:ext xmlns:c16="http://schemas.microsoft.com/office/drawing/2014/chart" uri="{C3380CC4-5D6E-409C-BE32-E72D297353CC}">
                <c16:uniqueId val="{00000002-3948-4CD1-BF8B-5721587936C9}"/>
              </c:ext>
            </c:extLst>
          </c:dPt>
          <c:cat>
            <c:strRef>
              <c:f>regximmi!$J$57:$J$78</c:f>
              <c:strCache>
                <c:ptCount val="22"/>
                <c:pt idx="0">
                  <c:v>Emilia-Romagna</c:v>
                </c:pt>
                <c:pt idx="1">
                  <c:v>Umbria</c:v>
                </c:pt>
                <c:pt idx="2">
                  <c:v>Lazio</c:v>
                </c:pt>
                <c:pt idx="3">
                  <c:v>Trento</c:v>
                </c:pt>
                <c:pt idx="4">
                  <c:v>Toscana</c:v>
                </c:pt>
                <c:pt idx="5">
                  <c:v>Lombardia</c:v>
                </c:pt>
                <c:pt idx="6">
                  <c:v>Marche</c:v>
                </c:pt>
                <c:pt idx="7">
                  <c:v>Veneto</c:v>
                </c:pt>
                <c:pt idx="8">
                  <c:v>Piemonte</c:v>
                </c:pt>
                <c:pt idx="9">
                  <c:v>Liguria</c:v>
                </c:pt>
                <c:pt idx="10">
                  <c:v>Bolzano-Bozen</c:v>
                </c:pt>
                <c:pt idx="11">
                  <c:v>Friuli-V.Giulia</c:v>
                </c:pt>
                <c:pt idx="12">
                  <c:v>ITALIA</c:v>
                </c:pt>
                <c:pt idx="13">
                  <c:v>Valle d'Aosta-Vallèe d'Aoste</c:v>
                </c:pt>
                <c:pt idx="14">
                  <c:v>Abruzzo</c:v>
                </c:pt>
                <c:pt idx="15">
                  <c:v>Calabria</c:v>
                </c:pt>
                <c:pt idx="16">
                  <c:v>Molise</c:v>
                </c:pt>
                <c:pt idx="17">
                  <c:v>Basilicata</c:v>
                </c:pt>
                <c:pt idx="18">
                  <c:v>Sicilia</c:v>
                </c:pt>
                <c:pt idx="19">
                  <c:v>Campania</c:v>
                </c:pt>
                <c:pt idx="20">
                  <c:v>Sardegna</c:v>
                </c:pt>
                <c:pt idx="21">
                  <c:v>Puglia</c:v>
                </c:pt>
              </c:strCache>
            </c:strRef>
          </c:cat>
          <c:val>
            <c:numRef>
              <c:f>regximmi!$M$57:$M$78</c:f>
              <c:numCache>
                <c:formatCode>0.0</c:formatCode>
                <c:ptCount val="22"/>
                <c:pt idx="0">
                  <c:v>10.29509326808801</c:v>
                </c:pt>
                <c:pt idx="1">
                  <c:v>9.9653929890162303</c:v>
                </c:pt>
                <c:pt idx="2">
                  <c:v>9.5366543874923977</c:v>
                </c:pt>
                <c:pt idx="3">
                  <c:v>9.1</c:v>
                </c:pt>
                <c:pt idx="4">
                  <c:v>8.9586536501734084</c:v>
                </c:pt>
                <c:pt idx="5">
                  <c:v>8.6550965242303608</c:v>
                </c:pt>
                <c:pt idx="6">
                  <c:v>8.229396165673311</c:v>
                </c:pt>
                <c:pt idx="7">
                  <c:v>8.1543288590124501</c:v>
                </c:pt>
                <c:pt idx="8">
                  <c:v>7.8884525061435653</c:v>
                </c:pt>
                <c:pt idx="9">
                  <c:v>7.6786184057814024</c:v>
                </c:pt>
                <c:pt idx="10">
                  <c:v>7.6</c:v>
                </c:pt>
                <c:pt idx="11">
                  <c:v>7.4782506394484418</c:v>
                </c:pt>
                <c:pt idx="12">
                  <c:v>7.0418508238324851</c:v>
                </c:pt>
                <c:pt idx="13">
                  <c:v>6.6998521168473006</c:v>
                </c:pt>
                <c:pt idx="14">
                  <c:v>5.727915415064408</c:v>
                </c:pt>
                <c:pt idx="15">
                  <c:v>5.4210524088989676</c:v>
                </c:pt>
                <c:pt idx="16">
                  <c:v>4.1652106629392947</c:v>
                </c:pt>
                <c:pt idx="17">
                  <c:v>3.8033709770407298</c:v>
                </c:pt>
                <c:pt idx="18">
                  <c:v>3.6082485987458721</c:v>
                </c:pt>
                <c:pt idx="19">
                  <c:v>3.455172636613796</c:v>
                </c:pt>
                <c:pt idx="20">
                  <c:v>2.9813917249032049</c:v>
                </c:pt>
                <c:pt idx="21">
                  <c:v>2.881768484212559</c:v>
                </c:pt>
              </c:numCache>
            </c:numRef>
          </c:val>
          <c:extLst xmlns:c16r2="http://schemas.microsoft.com/office/drawing/2015/06/chart">
            <c:ext xmlns:c16="http://schemas.microsoft.com/office/drawing/2014/chart" uri="{C3380CC4-5D6E-409C-BE32-E72D297353CC}">
              <c16:uniqueId val="{00000003-3948-4CD1-BF8B-5721587936C9}"/>
            </c:ext>
          </c:extLst>
        </c:ser>
        <c:ser>
          <c:idx val="0"/>
          <c:order val="1"/>
          <c:tx>
            <c:strRef>
              <c:f>regximmi!$L$56</c:f>
              <c:strCache>
                <c:ptCount val="1"/>
                <c:pt idx="0">
                  <c:v>tassi di immigratorietà 2018</c:v>
                </c:pt>
              </c:strCache>
            </c:strRef>
          </c:tx>
          <c:spPr>
            <a:solidFill>
              <a:srgbClr val="1F497D"/>
            </a:solidFill>
            <a:ln>
              <a:solidFill>
                <a:srgbClr val="1F497D"/>
              </a:solidFill>
            </a:ln>
          </c:spPr>
          <c:invertIfNegative val="0"/>
          <c:dPt>
            <c:idx val="12"/>
            <c:invertIfNegative val="0"/>
            <c:bubble3D val="0"/>
            <c:spPr>
              <a:pattFill prst="dkUpDiag">
                <a:fgClr>
                  <a:srgbClr val="1F497D"/>
                </a:fgClr>
                <a:bgClr>
                  <a:schemeClr val="bg1"/>
                </a:bgClr>
              </a:pattFill>
              <a:ln w="15875">
                <a:solidFill>
                  <a:srgbClr val="1F497D"/>
                </a:solidFill>
              </a:ln>
            </c:spPr>
            <c:extLst xmlns:c16r2="http://schemas.microsoft.com/office/drawing/2015/06/chart">
              <c:ext xmlns:c16="http://schemas.microsoft.com/office/drawing/2014/chart" uri="{C3380CC4-5D6E-409C-BE32-E72D297353CC}">
                <c16:uniqueId val="{00000005-3948-4CD1-BF8B-5721587936C9}"/>
              </c:ext>
            </c:extLst>
          </c:dPt>
          <c:dPt>
            <c:idx val="13"/>
            <c:invertIfNegative val="0"/>
            <c:bubble3D val="0"/>
            <c:extLst xmlns:c16r2="http://schemas.microsoft.com/office/drawing/2015/06/chart">
              <c:ext xmlns:c16="http://schemas.microsoft.com/office/drawing/2014/chart" uri="{C3380CC4-5D6E-409C-BE32-E72D297353CC}">
                <c16:uniqueId val="{00000006-3948-4CD1-BF8B-5721587936C9}"/>
              </c:ext>
            </c:extLst>
          </c:dPt>
          <c:cat>
            <c:strRef>
              <c:f>regximmi!$J$57:$J$78</c:f>
              <c:strCache>
                <c:ptCount val="22"/>
                <c:pt idx="0">
                  <c:v>Emilia-Romagna</c:v>
                </c:pt>
                <c:pt idx="1">
                  <c:v>Umbria</c:v>
                </c:pt>
                <c:pt idx="2">
                  <c:v>Lazio</c:v>
                </c:pt>
                <c:pt idx="3">
                  <c:v>Trento</c:v>
                </c:pt>
                <c:pt idx="4">
                  <c:v>Toscana</c:v>
                </c:pt>
                <c:pt idx="5">
                  <c:v>Lombardia</c:v>
                </c:pt>
                <c:pt idx="6">
                  <c:v>Marche</c:v>
                </c:pt>
                <c:pt idx="7">
                  <c:v>Veneto</c:v>
                </c:pt>
                <c:pt idx="8">
                  <c:v>Piemonte</c:v>
                </c:pt>
                <c:pt idx="9">
                  <c:v>Liguria</c:v>
                </c:pt>
                <c:pt idx="10">
                  <c:v>Bolzano-Bozen</c:v>
                </c:pt>
                <c:pt idx="11">
                  <c:v>Friuli-V.Giulia</c:v>
                </c:pt>
                <c:pt idx="12">
                  <c:v>ITALIA</c:v>
                </c:pt>
                <c:pt idx="13">
                  <c:v>Valle d'Aosta-Vallèe d'Aoste</c:v>
                </c:pt>
                <c:pt idx="14">
                  <c:v>Abruzzo</c:v>
                </c:pt>
                <c:pt idx="15">
                  <c:v>Calabria</c:v>
                </c:pt>
                <c:pt idx="16">
                  <c:v>Molise</c:v>
                </c:pt>
                <c:pt idx="17">
                  <c:v>Basilicata</c:v>
                </c:pt>
                <c:pt idx="18">
                  <c:v>Sicilia</c:v>
                </c:pt>
                <c:pt idx="19">
                  <c:v>Campania</c:v>
                </c:pt>
                <c:pt idx="20">
                  <c:v>Sardegna</c:v>
                </c:pt>
                <c:pt idx="21">
                  <c:v>Puglia</c:v>
                </c:pt>
              </c:strCache>
            </c:strRef>
          </c:cat>
          <c:val>
            <c:numRef>
              <c:f>regximmi!$L$57:$L$78</c:f>
              <c:numCache>
                <c:formatCode>0.0</c:formatCode>
                <c:ptCount val="22"/>
                <c:pt idx="0">
                  <c:v>6.7043637048302642</c:v>
                </c:pt>
                <c:pt idx="1">
                  <c:v>5.933246728987835</c:v>
                </c:pt>
                <c:pt idx="2">
                  <c:v>5.5225239952359813</c:v>
                </c:pt>
                <c:pt idx="3">
                  <c:v>5.3</c:v>
                </c:pt>
                <c:pt idx="4">
                  <c:v>6.2973700645098729</c:v>
                </c:pt>
                <c:pt idx="5">
                  <c:v>6.5865107495549546</c:v>
                </c:pt>
                <c:pt idx="6">
                  <c:v>5.7166708537453417</c:v>
                </c:pt>
                <c:pt idx="7">
                  <c:v>6.7518842070511216</c:v>
                </c:pt>
                <c:pt idx="8">
                  <c:v>5.3083556385274777</c:v>
                </c:pt>
                <c:pt idx="9">
                  <c:v>6.1719237963702778</c:v>
                </c:pt>
                <c:pt idx="10">
                  <c:v>7.6</c:v>
                </c:pt>
                <c:pt idx="11">
                  <c:v>6.8941457767494727</c:v>
                </c:pt>
                <c:pt idx="12">
                  <c:v>5.5000715429347924</c:v>
                </c:pt>
                <c:pt idx="13">
                  <c:v>5.74110248225261</c:v>
                </c:pt>
                <c:pt idx="14">
                  <c:v>6.2799416470989513</c:v>
                </c:pt>
                <c:pt idx="15">
                  <c:v>5.9869594330473399</c:v>
                </c:pt>
                <c:pt idx="16">
                  <c:v>7.2853397599778544</c:v>
                </c:pt>
                <c:pt idx="17">
                  <c:v>4.2035881828729007</c:v>
                </c:pt>
                <c:pt idx="18">
                  <c:v>3.8991191676772829</c:v>
                </c:pt>
                <c:pt idx="19">
                  <c:v>3.552462937775914</c:v>
                </c:pt>
                <c:pt idx="20">
                  <c:v>3.287945891542801</c:v>
                </c:pt>
                <c:pt idx="21">
                  <c:v>3.5194950784885282</c:v>
                </c:pt>
              </c:numCache>
            </c:numRef>
          </c:val>
          <c:extLst xmlns:c16r2="http://schemas.microsoft.com/office/drawing/2015/06/chart">
            <c:ext xmlns:c16="http://schemas.microsoft.com/office/drawing/2014/chart" uri="{C3380CC4-5D6E-409C-BE32-E72D297353CC}">
              <c16:uniqueId val="{00000007-3948-4CD1-BF8B-5721587936C9}"/>
            </c:ext>
          </c:extLst>
        </c:ser>
        <c:dLbls>
          <c:showLegendKey val="0"/>
          <c:showVal val="0"/>
          <c:showCatName val="0"/>
          <c:showSerName val="0"/>
          <c:showPercent val="0"/>
          <c:showBubbleSize val="0"/>
        </c:dLbls>
        <c:gapWidth val="80"/>
        <c:axId val="166106624"/>
        <c:axId val="166108160"/>
      </c:barChart>
      <c:catAx>
        <c:axId val="166106624"/>
        <c:scaling>
          <c:orientation val="minMax"/>
        </c:scaling>
        <c:delete val="0"/>
        <c:axPos val="b"/>
        <c:majorGridlines>
          <c:spPr>
            <a:ln>
              <a:solidFill>
                <a:schemeClr val="bg1"/>
              </a:solidFill>
            </a:ln>
          </c:spPr>
        </c:majorGridlines>
        <c:numFmt formatCode="General" sourceLinked="0"/>
        <c:majorTickMark val="none"/>
        <c:minorTickMark val="none"/>
        <c:tickLblPos val="nextTo"/>
        <c:spPr>
          <a:ln>
            <a:solidFill>
              <a:schemeClr val="bg1"/>
            </a:solidFill>
          </a:ln>
        </c:spPr>
        <c:txPr>
          <a:bodyPr/>
          <a:lstStyle/>
          <a:p>
            <a:pPr>
              <a:defRPr sz="800" b="1"/>
            </a:pPr>
            <a:endParaRPr lang="it-IT"/>
          </a:p>
        </c:txPr>
        <c:crossAx val="166108160"/>
        <c:crosses val="autoZero"/>
        <c:auto val="1"/>
        <c:lblAlgn val="ctr"/>
        <c:lblOffset val="100"/>
        <c:noMultiLvlLbl val="0"/>
      </c:catAx>
      <c:valAx>
        <c:axId val="166108160"/>
        <c:scaling>
          <c:orientation val="minMax"/>
        </c:scaling>
        <c:delete val="0"/>
        <c:axPos val="l"/>
        <c:majorGridlines>
          <c:spPr>
            <a:ln>
              <a:solidFill>
                <a:schemeClr val="bg1"/>
              </a:solidFill>
            </a:ln>
          </c:spPr>
        </c:majorGridlines>
        <c:numFmt formatCode="0" sourceLinked="0"/>
        <c:majorTickMark val="none"/>
        <c:minorTickMark val="none"/>
        <c:tickLblPos val="nextTo"/>
        <c:spPr>
          <a:ln>
            <a:solidFill>
              <a:schemeClr val="bg1"/>
            </a:solidFill>
          </a:ln>
        </c:spPr>
        <c:crossAx val="166106624"/>
        <c:crosses val="autoZero"/>
        <c:crossBetween val="between"/>
      </c:valAx>
      <c:spPr>
        <a:noFill/>
      </c:spPr>
    </c:plotArea>
    <c:legend>
      <c:legendPos val="t"/>
      <c:layout>
        <c:manualLayout>
          <c:xMode val="edge"/>
          <c:yMode val="edge"/>
          <c:x val="8.1881599788603043E-2"/>
          <c:y val="3.1624700302011741E-2"/>
          <c:w val="0.86767238784428558"/>
          <c:h val="8.4796944107699945E-2"/>
        </c:manualLayout>
      </c:layout>
      <c:overlay val="0"/>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49506350405884E-2"/>
          <c:y val="0.19687408641355611"/>
          <c:w val="0.88096795950041851"/>
          <c:h val="0.63167359629111786"/>
        </c:manualLayout>
      </c:layout>
      <c:lineChart>
        <c:grouping val="standard"/>
        <c:varyColors val="0"/>
        <c:ser>
          <c:idx val="0"/>
          <c:order val="0"/>
          <c:tx>
            <c:strRef>
              <c:f>'[tavole e grafici_migrazioni.xlsx]FIGURA 5.'!$B$23</c:f>
              <c:strCache>
                <c:ptCount val="1"/>
                <c:pt idx="0">
                  <c:v>europa_m</c:v>
                </c:pt>
              </c:strCache>
            </c:strRef>
          </c:tx>
          <c:spPr>
            <a:ln w="28575" cap="rnd">
              <a:solidFill>
                <a:srgbClr val="1F497D"/>
              </a:solidFill>
              <a:round/>
            </a:ln>
            <a:effectLst/>
          </c:spPr>
          <c:marker>
            <c:symbol val="none"/>
          </c:marker>
          <c:cat>
            <c:strRef>
              <c:f>'[tavole e grafici_migrazioni.xlsx]FIGURA 5.'!$A$24:$A$123</c:f>
              <c:strCach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99</c:v>
                </c:pt>
                <c:pt idx="99">
                  <c:v>100+</c:v>
                </c:pt>
              </c:strCache>
            </c:strRef>
          </c:cat>
          <c:val>
            <c:numRef>
              <c:f>'[tavole e grafici_migrazioni.xlsx]FIGURA 5.'!$B$24:$B$123</c:f>
              <c:numCache>
                <c:formatCode>#,#00</c:formatCode>
                <c:ptCount val="100"/>
                <c:pt idx="0">
                  <c:v>0.4419958942561481</c:v>
                </c:pt>
                <c:pt idx="1">
                  <c:v>0.51217059784657926</c:v>
                </c:pt>
                <c:pt idx="2">
                  <c:v>0.54778164145963382</c:v>
                </c:pt>
                <c:pt idx="3">
                  <c:v>0.49017554149733966</c:v>
                </c:pt>
                <c:pt idx="4">
                  <c:v>0.49960199421844231</c:v>
                </c:pt>
                <c:pt idx="5">
                  <c:v>0.52788135238175038</c:v>
                </c:pt>
                <c:pt idx="6">
                  <c:v>0.48074908877623701</c:v>
                </c:pt>
                <c:pt idx="7">
                  <c:v>0.47551217059784662</c:v>
                </c:pt>
                <c:pt idx="8">
                  <c:v>0.46713310151242193</c:v>
                </c:pt>
                <c:pt idx="9">
                  <c:v>0.45665926515564126</c:v>
                </c:pt>
                <c:pt idx="10">
                  <c:v>0.47865432150488085</c:v>
                </c:pt>
                <c:pt idx="11">
                  <c:v>0.47237001969081233</c:v>
                </c:pt>
                <c:pt idx="12">
                  <c:v>0.46608571787674391</c:v>
                </c:pt>
                <c:pt idx="13">
                  <c:v>0.43152205789936737</c:v>
                </c:pt>
                <c:pt idx="14">
                  <c:v>0.40638485064309354</c:v>
                </c:pt>
                <c:pt idx="15">
                  <c:v>0.48912815786166153</c:v>
                </c:pt>
                <c:pt idx="16">
                  <c:v>0.55197117600234613</c:v>
                </c:pt>
                <c:pt idx="17">
                  <c:v>0.8096275503791529</c:v>
                </c:pt>
                <c:pt idx="18">
                  <c:v>1.2830449537056432</c:v>
                </c:pt>
                <c:pt idx="19">
                  <c:v>1.1866856592232604</c:v>
                </c:pt>
                <c:pt idx="20">
                  <c:v>0.96359294482383007</c:v>
                </c:pt>
                <c:pt idx="21">
                  <c:v>0.85780719762034441</c:v>
                </c:pt>
                <c:pt idx="22">
                  <c:v>0.92902928484645353</c:v>
                </c:pt>
                <c:pt idx="23">
                  <c:v>0.98244585026603537</c:v>
                </c:pt>
                <c:pt idx="24">
                  <c:v>1.1447903137961373</c:v>
                </c:pt>
                <c:pt idx="25">
                  <c:v>1.166785370145377</c:v>
                </c:pt>
                <c:pt idx="26">
                  <c:v>1.1845908919519041</c:v>
                </c:pt>
                <c:pt idx="27">
                  <c:v>1.2264862373790273</c:v>
                </c:pt>
                <c:pt idx="28">
                  <c:v>1.2128702501152122</c:v>
                </c:pt>
                <c:pt idx="29">
                  <c:v>1.2537182119066572</c:v>
                </c:pt>
                <c:pt idx="30">
                  <c:v>1.1636432192383426</c:v>
                </c:pt>
                <c:pt idx="31">
                  <c:v>1.0704260756629937</c:v>
                </c:pt>
                <c:pt idx="32">
                  <c:v>1.0191042775147681</c:v>
                </c:pt>
                <c:pt idx="33">
                  <c:v>0.92588713393941935</c:v>
                </c:pt>
                <c:pt idx="34">
                  <c:v>0.83371737399974866</c:v>
                </c:pt>
                <c:pt idx="35">
                  <c:v>0.80020109765805025</c:v>
                </c:pt>
                <c:pt idx="36">
                  <c:v>0.73735807951736565</c:v>
                </c:pt>
                <c:pt idx="37">
                  <c:v>0.72269470861787255</c:v>
                </c:pt>
                <c:pt idx="38">
                  <c:v>0.72269470861787255</c:v>
                </c:pt>
                <c:pt idx="39">
                  <c:v>0.63785663412794835</c:v>
                </c:pt>
                <c:pt idx="40">
                  <c:v>0.58862960325107883</c:v>
                </c:pt>
                <c:pt idx="41">
                  <c:v>0.64309355230633869</c:v>
                </c:pt>
                <c:pt idx="42">
                  <c:v>0.5729188487159077</c:v>
                </c:pt>
                <c:pt idx="43">
                  <c:v>0.5729188487159077</c:v>
                </c:pt>
                <c:pt idx="44">
                  <c:v>0.51112321421090112</c:v>
                </c:pt>
                <c:pt idx="45">
                  <c:v>0.49122292513301768</c:v>
                </c:pt>
                <c:pt idx="46">
                  <c:v>0.46922786878377809</c:v>
                </c:pt>
                <c:pt idx="47">
                  <c:v>0.47341740332649046</c:v>
                </c:pt>
                <c:pt idx="48">
                  <c:v>0.43675897607775782</c:v>
                </c:pt>
                <c:pt idx="49">
                  <c:v>0.46189618333403154</c:v>
                </c:pt>
                <c:pt idx="50">
                  <c:v>0.41581130336419625</c:v>
                </c:pt>
                <c:pt idx="51">
                  <c:v>0.36344212158029243</c:v>
                </c:pt>
                <c:pt idx="52">
                  <c:v>0.30478863798232014</c:v>
                </c:pt>
                <c:pt idx="53">
                  <c:v>0.29745695253257365</c:v>
                </c:pt>
                <c:pt idx="54">
                  <c:v>0.26498805982655327</c:v>
                </c:pt>
                <c:pt idx="55">
                  <c:v>0.28174619799740247</c:v>
                </c:pt>
                <c:pt idx="56">
                  <c:v>0.27022497800494366</c:v>
                </c:pt>
                <c:pt idx="57">
                  <c:v>0.27127236164062168</c:v>
                </c:pt>
                <c:pt idx="58">
                  <c:v>0.22728224894214252</c:v>
                </c:pt>
                <c:pt idx="59">
                  <c:v>0.25032468892706022</c:v>
                </c:pt>
                <c:pt idx="60">
                  <c:v>0.22414009803510831</c:v>
                </c:pt>
                <c:pt idx="61">
                  <c:v>0.24718253802002596</c:v>
                </c:pt>
                <c:pt idx="62">
                  <c:v>0.23461393439188905</c:v>
                </c:pt>
                <c:pt idx="63">
                  <c:v>0.22099794712807405</c:v>
                </c:pt>
                <c:pt idx="64">
                  <c:v>0.17596045079391681</c:v>
                </c:pt>
                <c:pt idx="65">
                  <c:v>0.18119736897230718</c:v>
                </c:pt>
                <c:pt idx="66">
                  <c:v>0.20633457622858098</c:v>
                </c:pt>
                <c:pt idx="67">
                  <c:v>0.15187062717332106</c:v>
                </c:pt>
                <c:pt idx="68">
                  <c:v>0.15501277808035527</c:v>
                </c:pt>
                <c:pt idx="69">
                  <c:v>0.13511248900247183</c:v>
                </c:pt>
                <c:pt idx="70">
                  <c:v>0.13406510536679375</c:v>
                </c:pt>
                <c:pt idx="71">
                  <c:v>0.11940173446730068</c:v>
                </c:pt>
                <c:pt idx="72">
                  <c:v>9.2169759939670706E-2</c:v>
                </c:pt>
                <c:pt idx="73">
                  <c:v>8.6932841761280327E-2</c:v>
                </c:pt>
                <c:pt idx="74">
                  <c:v>8.1695923582889934E-2</c:v>
                </c:pt>
                <c:pt idx="75">
                  <c:v>6.7032552683396876E-2</c:v>
                </c:pt>
                <c:pt idx="76">
                  <c:v>4.7132263605513425E-2</c:v>
                </c:pt>
                <c:pt idx="77">
                  <c:v>5.1321798148225725E-2</c:v>
                </c:pt>
                <c:pt idx="78">
                  <c:v>3.6658427248732667E-2</c:v>
                </c:pt>
                <c:pt idx="79">
                  <c:v>3.456365997737651E-2</c:v>
                </c:pt>
                <c:pt idx="80">
                  <c:v>4.5037496334157275E-2</c:v>
                </c:pt>
                <c:pt idx="81">
                  <c:v>1.9900289077883448E-2</c:v>
                </c:pt>
                <c:pt idx="82">
                  <c:v>2.3042439984917677E-2</c:v>
                </c:pt>
                <c:pt idx="83">
                  <c:v>2.1995056349239601E-2</c:v>
                </c:pt>
                <c:pt idx="84">
                  <c:v>1.8852905442205373E-2</c:v>
                </c:pt>
                <c:pt idx="85">
                  <c:v>1.1521219992458838E-2</c:v>
                </c:pt>
                <c:pt idx="86">
                  <c:v>1.2568603628136915E-2</c:v>
                </c:pt>
                <c:pt idx="87">
                  <c:v>7.3316854497465327E-3</c:v>
                </c:pt>
                <c:pt idx="88">
                  <c:v>5.2369181783903807E-3</c:v>
                </c:pt>
                <c:pt idx="89">
                  <c:v>5.2369181783903807E-3</c:v>
                </c:pt>
                <c:pt idx="90">
                  <c:v>2.0947672713561524E-3</c:v>
                </c:pt>
                <c:pt idx="91">
                  <c:v>3.1421509070342288E-3</c:v>
                </c:pt>
                <c:pt idx="92">
                  <c:v>1.0473836356780762E-3</c:v>
                </c:pt>
                <c:pt idx="93">
                  <c:v>2.0947672713561524E-3</c:v>
                </c:pt>
                <c:pt idx="94">
                  <c:v>1.0473836356780762E-3</c:v>
                </c:pt>
                <c:pt idx="95">
                  <c:v>2.0947672713561524E-3</c:v>
                </c:pt>
                <c:pt idx="96">
                  <c:v>1.0473836356780762E-3</c:v>
                </c:pt>
                <c:pt idx="97">
                  <c:v>0</c:v>
                </c:pt>
                <c:pt idx="98">
                  <c:v>0</c:v>
                </c:pt>
                <c:pt idx="99">
                  <c:v>0</c:v>
                </c:pt>
              </c:numCache>
            </c:numRef>
          </c:val>
          <c:smooth val="0"/>
          <c:extLst xmlns:c16r2="http://schemas.microsoft.com/office/drawing/2015/06/chart">
            <c:ext xmlns:c16="http://schemas.microsoft.com/office/drawing/2014/chart" uri="{C3380CC4-5D6E-409C-BE32-E72D297353CC}">
              <c16:uniqueId val="{00000000-920F-4352-8CCA-17F45571E62B}"/>
            </c:ext>
          </c:extLst>
        </c:ser>
        <c:ser>
          <c:idx val="1"/>
          <c:order val="1"/>
          <c:tx>
            <c:strRef>
              <c:f>'[tavole e grafici_migrazioni.xlsx]FIGURA 5.'!$C$23</c:f>
              <c:strCache>
                <c:ptCount val="1"/>
                <c:pt idx="0">
                  <c:v>europa_f</c:v>
                </c:pt>
              </c:strCache>
            </c:strRef>
          </c:tx>
          <c:spPr>
            <a:ln w="28575" cap="rnd">
              <a:solidFill>
                <a:srgbClr val="E42618"/>
              </a:solidFill>
              <a:round/>
            </a:ln>
            <a:effectLst/>
          </c:spPr>
          <c:marker>
            <c:symbol val="none"/>
          </c:marker>
          <c:cat>
            <c:strRef>
              <c:f>'[tavole e grafici_migrazioni.xlsx]FIGURA 5.'!$A$24:$A$123</c:f>
              <c:strCach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99</c:v>
                </c:pt>
                <c:pt idx="99">
                  <c:v>100+</c:v>
                </c:pt>
              </c:strCache>
            </c:strRef>
          </c:cat>
          <c:val>
            <c:numRef>
              <c:f>'[tavole e grafici_migrazioni.xlsx]FIGURA 5.'!$C$24:$C$123</c:f>
              <c:numCache>
                <c:formatCode>#,#00</c:formatCode>
                <c:ptCount val="100"/>
                <c:pt idx="0">
                  <c:v>0.41162176882148394</c:v>
                </c:pt>
                <c:pt idx="1">
                  <c:v>0.46608571787674391</c:v>
                </c:pt>
                <c:pt idx="2">
                  <c:v>0.50798106330386694</c:v>
                </c:pt>
                <c:pt idx="3">
                  <c:v>0.49855461058276423</c:v>
                </c:pt>
                <c:pt idx="4">
                  <c:v>0.46189618333403154</c:v>
                </c:pt>
                <c:pt idx="5">
                  <c:v>0.49750722694708621</c:v>
                </c:pt>
                <c:pt idx="6">
                  <c:v>0.44618542879886047</c:v>
                </c:pt>
                <c:pt idx="7">
                  <c:v>0.42209560517826472</c:v>
                </c:pt>
                <c:pt idx="8">
                  <c:v>0.43571159244207969</c:v>
                </c:pt>
                <c:pt idx="9">
                  <c:v>0.45456449788428505</c:v>
                </c:pt>
                <c:pt idx="10">
                  <c:v>0.42837990699233314</c:v>
                </c:pt>
                <c:pt idx="11">
                  <c:v>0.42628513972097704</c:v>
                </c:pt>
                <c:pt idx="12">
                  <c:v>0.43047467426368929</c:v>
                </c:pt>
                <c:pt idx="13">
                  <c:v>0.41476391972851817</c:v>
                </c:pt>
                <c:pt idx="14">
                  <c:v>0.38334241065817587</c:v>
                </c:pt>
                <c:pt idx="15">
                  <c:v>0.41581130336419625</c:v>
                </c:pt>
                <c:pt idx="16">
                  <c:v>0.36658427248732667</c:v>
                </c:pt>
                <c:pt idx="17">
                  <c:v>0.37182119066571701</c:v>
                </c:pt>
                <c:pt idx="18">
                  <c:v>0.80439063220076257</c:v>
                </c:pt>
                <c:pt idx="19">
                  <c:v>1.0536679374921447</c:v>
                </c:pt>
                <c:pt idx="20">
                  <c:v>1.1542167665172398</c:v>
                </c:pt>
                <c:pt idx="21">
                  <c:v>1.1783065901378356</c:v>
                </c:pt>
                <c:pt idx="22">
                  <c:v>1.3060873936905608</c:v>
                </c:pt>
                <c:pt idx="23">
                  <c:v>1.4977585990196489</c:v>
                </c:pt>
                <c:pt idx="24">
                  <c:v>1.6443923080145795</c:v>
                </c:pt>
                <c:pt idx="25">
                  <c:v>1.5532699317105869</c:v>
                </c:pt>
                <c:pt idx="26">
                  <c:v>1.6077338807658468</c:v>
                </c:pt>
                <c:pt idx="27">
                  <c:v>1.5386065608110939</c:v>
                </c:pt>
                <c:pt idx="28">
                  <c:v>1.5951652771377101</c:v>
                </c:pt>
                <c:pt idx="29">
                  <c:v>1.5480330135321967</c:v>
                </c:pt>
                <c:pt idx="30">
                  <c:v>1.4663370899493067</c:v>
                </c:pt>
                <c:pt idx="31">
                  <c:v>1.3280824500398005</c:v>
                </c:pt>
                <c:pt idx="32">
                  <c:v>1.2725711173488625</c:v>
                </c:pt>
                <c:pt idx="33">
                  <c:v>1.1458376974318154</c:v>
                </c:pt>
                <c:pt idx="34">
                  <c:v>1.1395533956177468</c:v>
                </c:pt>
                <c:pt idx="35">
                  <c:v>1.0232938120574804</c:v>
                </c:pt>
                <c:pt idx="36">
                  <c:v>0.9834932339017135</c:v>
                </c:pt>
                <c:pt idx="37">
                  <c:v>0.96149817755247402</c:v>
                </c:pt>
                <c:pt idx="38">
                  <c:v>1.0117725920650216</c:v>
                </c:pt>
                <c:pt idx="39">
                  <c:v>0.90598684486153591</c:v>
                </c:pt>
                <c:pt idx="40">
                  <c:v>0.84419121035652944</c:v>
                </c:pt>
                <c:pt idx="41">
                  <c:v>0.91960283212535088</c:v>
                </c:pt>
                <c:pt idx="42">
                  <c:v>0.86618626670576893</c:v>
                </c:pt>
                <c:pt idx="43">
                  <c:v>0.92274498303238517</c:v>
                </c:pt>
                <c:pt idx="44">
                  <c:v>0.90808161213289207</c:v>
                </c:pt>
                <c:pt idx="45">
                  <c:v>0.89760777577611128</c:v>
                </c:pt>
                <c:pt idx="46">
                  <c:v>0.84419121035652944</c:v>
                </c:pt>
                <c:pt idx="47">
                  <c:v>0.90598684486153591</c:v>
                </c:pt>
                <c:pt idx="48">
                  <c:v>0.92693451757509748</c:v>
                </c:pt>
                <c:pt idx="49">
                  <c:v>0.88503917214797434</c:v>
                </c:pt>
                <c:pt idx="50">
                  <c:v>1.0033935229795969</c:v>
                </c:pt>
                <c:pt idx="51">
                  <c:v>0.77401650676609834</c:v>
                </c:pt>
                <c:pt idx="52">
                  <c:v>0.71955255771083837</c:v>
                </c:pt>
                <c:pt idx="53">
                  <c:v>0.69965226863295482</c:v>
                </c:pt>
                <c:pt idx="54">
                  <c:v>0.72478947588922871</c:v>
                </c:pt>
                <c:pt idx="55">
                  <c:v>0.71955255771083837</c:v>
                </c:pt>
                <c:pt idx="56">
                  <c:v>0.73421592861033136</c:v>
                </c:pt>
                <c:pt idx="57">
                  <c:v>0.73316854497465334</c:v>
                </c:pt>
                <c:pt idx="58">
                  <c:v>0.70698395408270143</c:v>
                </c:pt>
                <c:pt idx="59">
                  <c:v>0.69965226863295482</c:v>
                </c:pt>
                <c:pt idx="60">
                  <c:v>0.62424064686413339</c:v>
                </c:pt>
                <c:pt idx="61">
                  <c:v>0.58653483597972267</c:v>
                </c:pt>
                <c:pt idx="62">
                  <c:v>0.52997611965310654</c:v>
                </c:pt>
                <c:pt idx="63">
                  <c:v>0.51217059784657926</c:v>
                </c:pt>
                <c:pt idx="64">
                  <c:v>0.45665926515564126</c:v>
                </c:pt>
                <c:pt idx="65">
                  <c:v>0.41581130336419625</c:v>
                </c:pt>
                <c:pt idx="66">
                  <c:v>0.34458921613808707</c:v>
                </c:pt>
                <c:pt idx="67">
                  <c:v>0.33935229795969668</c:v>
                </c:pt>
                <c:pt idx="68">
                  <c:v>0.29955171980392975</c:v>
                </c:pt>
                <c:pt idx="69">
                  <c:v>0.24718253802002596</c:v>
                </c:pt>
                <c:pt idx="70">
                  <c:v>0.18957643805773178</c:v>
                </c:pt>
                <c:pt idx="71">
                  <c:v>0.18329213624366333</c:v>
                </c:pt>
                <c:pt idx="72">
                  <c:v>0.13197033809543759</c:v>
                </c:pt>
                <c:pt idx="73">
                  <c:v>0.14663370899493067</c:v>
                </c:pt>
                <c:pt idx="74">
                  <c:v>0.10473836356780762</c:v>
                </c:pt>
                <c:pt idx="75">
                  <c:v>0.12149650173865685</c:v>
                </c:pt>
                <c:pt idx="76">
                  <c:v>9.1122376303992628E-2</c:v>
                </c:pt>
                <c:pt idx="77">
                  <c:v>9.426452721102685E-2</c:v>
                </c:pt>
                <c:pt idx="78">
                  <c:v>8.7980225396958406E-2</c:v>
                </c:pt>
                <c:pt idx="79">
                  <c:v>6.179563450500649E-2</c:v>
                </c:pt>
                <c:pt idx="80">
                  <c:v>5.970086723365034E-2</c:v>
                </c:pt>
                <c:pt idx="81">
                  <c:v>5.970086723365034E-2</c:v>
                </c:pt>
                <c:pt idx="82">
                  <c:v>3.6658427248732667E-2</c:v>
                </c:pt>
                <c:pt idx="83">
                  <c:v>3.456365997737651E-2</c:v>
                </c:pt>
                <c:pt idx="84">
                  <c:v>3.6658427248732667E-2</c:v>
                </c:pt>
                <c:pt idx="85">
                  <c:v>3.3516276341698438E-2</c:v>
                </c:pt>
                <c:pt idx="86">
                  <c:v>2.1995056349239601E-2</c:v>
                </c:pt>
                <c:pt idx="87">
                  <c:v>2.0947672713561523E-2</c:v>
                </c:pt>
                <c:pt idx="88">
                  <c:v>1.4663370899493065E-2</c:v>
                </c:pt>
                <c:pt idx="89">
                  <c:v>8.3790690854246095E-3</c:v>
                </c:pt>
                <c:pt idx="90">
                  <c:v>1.2568603628136915E-2</c:v>
                </c:pt>
                <c:pt idx="91">
                  <c:v>6.2843018140684576E-3</c:v>
                </c:pt>
                <c:pt idx="92">
                  <c:v>9.4264527211026863E-3</c:v>
                </c:pt>
                <c:pt idx="93">
                  <c:v>3.1421509070342288E-3</c:v>
                </c:pt>
                <c:pt idx="94">
                  <c:v>1.0473836356780762E-3</c:v>
                </c:pt>
                <c:pt idx="95">
                  <c:v>5.2369181783903807E-3</c:v>
                </c:pt>
                <c:pt idx="96">
                  <c:v>1.0473836356780762E-3</c:v>
                </c:pt>
                <c:pt idx="97">
                  <c:v>2.0947672713561524E-3</c:v>
                </c:pt>
                <c:pt idx="98">
                  <c:v>0</c:v>
                </c:pt>
                <c:pt idx="99">
                  <c:v>0</c:v>
                </c:pt>
              </c:numCache>
            </c:numRef>
          </c:val>
          <c:smooth val="0"/>
          <c:extLst xmlns:c16r2="http://schemas.microsoft.com/office/drawing/2015/06/chart">
            <c:ext xmlns:c16="http://schemas.microsoft.com/office/drawing/2014/chart" uri="{C3380CC4-5D6E-409C-BE32-E72D297353CC}">
              <c16:uniqueId val="{00000001-920F-4352-8CCA-17F45571E62B}"/>
            </c:ext>
          </c:extLst>
        </c:ser>
        <c:dLbls>
          <c:showLegendKey val="0"/>
          <c:showVal val="0"/>
          <c:showCatName val="0"/>
          <c:showSerName val="0"/>
          <c:showPercent val="0"/>
          <c:showBubbleSize val="0"/>
        </c:dLbls>
        <c:marker val="1"/>
        <c:smooth val="0"/>
        <c:axId val="166133120"/>
        <c:axId val="166200448"/>
      </c:lineChart>
      <c:catAx>
        <c:axId val="166133120"/>
        <c:scaling>
          <c:orientation val="minMax"/>
        </c:scaling>
        <c:delete val="0"/>
        <c:axPos val="b"/>
        <c:majorGridlines>
          <c:spPr>
            <a:ln>
              <a:solidFill>
                <a:schemeClr val="bg1"/>
              </a:solidFill>
            </a:ln>
          </c:spPr>
        </c:majorGridlines>
        <c:numFmt formatCode="General" sourceLinked="1"/>
        <c:majorTickMark val="none"/>
        <c:minorTickMark val="none"/>
        <c:tickLblPos val="nextTo"/>
        <c:spPr>
          <a:noFill/>
          <a:ln w="9525" cap="flat" cmpd="sng" algn="ctr">
            <a:solidFill>
              <a:schemeClr val="bg1"/>
            </a:solidFill>
            <a:round/>
          </a:ln>
          <a:effectLst/>
        </c:spPr>
        <c:txPr>
          <a:bodyPr rot="-60000000" vert="horz"/>
          <a:lstStyle/>
          <a:p>
            <a:pPr>
              <a:defRPr/>
            </a:pPr>
            <a:endParaRPr lang="it-IT"/>
          </a:p>
        </c:txPr>
        <c:crossAx val="166200448"/>
        <c:crosses val="autoZero"/>
        <c:auto val="1"/>
        <c:lblAlgn val="ctr"/>
        <c:lblOffset val="100"/>
        <c:tickLblSkip val="10"/>
        <c:tickMarkSkip val="10"/>
        <c:noMultiLvlLbl val="0"/>
      </c:catAx>
      <c:valAx>
        <c:axId val="166200448"/>
        <c:scaling>
          <c:orientation val="minMax"/>
          <c:max val="6"/>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vert="horz"/>
          <a:lstStyle/>
          <a:p>
            <a:pPr>
              <a:defRPr/>
            </a:pPr>
            <a:endParaRPr lang="it-IT"/>
          </a:p>
        </c:txPr>
        <c:crossAx val="166133120"/>
        <c:crosses val="autoZero"/>
        <c:crossBetween val="between"/>
        <c:majorUnit val="1"/>
      </c:valAx>
      <c:spPr>
        <a:noFill/>
        <a:ln>
          <a:noFill/>
        </a:ln>
        <a:effectLst/>
      </c:spPr>
    </c:plotArea>
    <c:legend>
      <c:legendPos val="t"/>
      <c:layout>
        <c:manualLayout>
          <c:xMode val="edge"/>
          <c:yMode val="edge"/>
          <c:x val="0.26107717172951528"/>
          <c:y val="0"/>
          <c:w val="0.46159243659488541"/>
          <c:h val="0.14922888849487551"/>
        </c:manualLayout>
      </c:layout>
      <c:overlay val="0"/>
      <c:spPr>
        <a:noFill/>
        <a:ln>
          <a:noFill/>
        </a:ln>
        <a:effectLst/>
      </c:spPr>
      <c:txPr>
        <a:bodyPr rot="0" vert="horz"/>
        <a:lstStyle/>
        <a:p>
          <a:pPr>
            <a:defRPr/>
          </a:pPr>
          <a:endParaRPr lang="it-IT"/>
        </a:p>
      </c:txPr>
    </c:legend>
    <c:plotVisOnly val="1"/>
    <c:dispBlanksAs val="gap"/>
    <c:showDLblsOverMax val="0"/>
  </c:chart>
  <c:spPr>
    <a:solidFill>
      <a:schemeClr val="bg1">
        <a:alpha val="0"/>
      </a:schemeClr>
    </a:solidFill>
    <a:ln w="9525" cap="flat" cmpd="sng" algn="ctr">
      <a:noFill/>
      <a:round/>
    </a:ln>
    <a:effectLst/>
  </c:spPr>
  <c:txPr>
    <a:bodyPr/>
    <a:lstStyle/>
    <a:p>
      <a:pPr>
        <a:defRPr sz="700">
          <a:latin typeface="Arial Narrow" panose="020B0606020202030204" pitchFamily="34" charset="0"/>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368517546966471E-2"/>
          <c:y val="0.19149489930076685"/>
          <c:w val="0.88454363113963896"/>
          <c:h val="0.65190420095030477"/>
        </c:manualLayout>
      </c:layout>
      <c:lineChart>
        <c:grouping val="standard"/>
        <c:varyColors val="0"/>
        <c:ser>
          <c:idx val="0"/>
          <c:order val="0"/>
          <c:tx>
            <c:strRef>
              <c:f>'[tavole e grafici_migrazioni.xlsx]FIGURA 5.'!$F$23</c:f>
              <c:strCache>
                <c:ptCount val="1"/>
                <c:pt idx="0">
                  <c:v>Africa_m</c:v>
                </c:pt>
              </c:strCache>
            </c:strRef>
          </c:tx>
          <c:spPr>
            <a:ln w="28575" cap="rnd">
              <a:solidFill>
                <a:srgbClr val="1F497D"/>
              </a:solidFill>
              <a:round/>
            </a:ln>
            <a:effectLst/>
          </c:spPr>
          <c:marker>
            <c:symbol val="none"/>
          </c:marker>
          <c:cat>
            <c:strRef>
              <c:f>'[tavole e grafici_migrazioni.xlsx]FIGURA 5.'!$E$24:$E$123</c:f>
              <c:strCach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99</c:v>
                </c:pt>
                <c:pt idx="99">
                  <c:v>100+</c:v>
                </c:pt>
              </c:strCache>
            </c:strRef>
          </c:cat>
          <c:val>
            <c:numRef>
              <c:f>'[tavole e grafici_migrazioni.xlsx]FIGURA 5.'!$F$24:$F$123</c:f>
              <c:numCache>
                <c:formatCode>#,#00</c:formatCode>
                <c:ptCount val="100"/>
                <c:pt idx="0">
                  <c:v>0.54080519885162359</c:v>
                </c:pt>
                <c:pt idx="1">
                  <c:v>0.65542029243540378</c:v>
                </c:pt>
                <c:pt idx="2">
                  <c:v>0.64317984554781571</c:v>
                </c:pt>
                <c:pt idx="3">
                  <c:v>0.53412859145839353</c:v>
                </c:pt>
                <c:pt idx="4">
                  <c:v>0.51854984087419043</c:v>
                </c:pt>
                <c:pt idx="5">
                  <c:v>0.43731778425655976</c:v>
                </c:pt>
                <c:pt idx="6">
                  <c:v>0.38167938931297707</c:v>
                </c:pt>
                <c:pt idx="7">
                  <c:v>0.32047715487503614</c:v>
                </c:pt>
                <c:pt idx="8">
                  <c:v>0.32492822647052277</c:v>
                </c:pt>
                <c:pt idx="9">
                  <c:v>0.28486858211114324</c:v>
                </c:pt>
                <c:pt idx="10">
                  <c:v>0.30934947588631961</c:v>
                </c:pt>
                <c:pt idx="11">
                  <c:v>0.35274742394231412</c:v>
                </c:pt>
                <c:pt idx="12">
                  <c:v>0.31936438697616448</c:v>
                </c:pt>
                <c:pt idx="13">
                  <c:v>0.32826653016713775</c:v>
                </c:pt>
                <c:pt idx="14">
                  <c:v>0.39058153250395033</c:v>
                </c:pt>
                <c:pt idx="15">
                  <c:v>0.49295617920014245</c:v>
                </c:pt>
                <c:pt idx="16">
                  <c:v>0.83791422785035496</c:v>
                </c:pt>
                <c:pt idx="17">
                  <c:v>2.1109207041595264</c:v>
                </c:pt>
                <c:pt idx="18">
                  <c:v>5.536020296886476</c:v>
                </c:pt>
                <c:pt idx="19">
                  <c:v>5.7240780717957849</c:v>
                </c:pt>
                <c:pt idx="20">
                  <c:v>5.0575301003716646</c:v>
                </c:pt>
                <c:pt idx="21">
                  <c:v>4.2440967662964857</c:v>
                </c:pt>
                <c:pt idx="22">
                  <c:v>3.427325128524692</c:v>
                </c:pt>
                <c:pt idx="23">
                  <c:v>3.0411946676162285</c:v>
                </c:pt>
                <c:pt idx="24">
                  <c:v>2.7941601940667216</c:v>
                </c:pt>
                <c:pt idx="25">
                  <c:v>2.9110008234482452</c:v>
                </c:pt>
                <c:pt idx="26">
                  <c:v>2.7874835866734915</c:v>
                </c:pt>
                <c:pt idx="27">
                  <c:v>2.4603298244052256</c:v>
                </c:pt>
                <c:pt idx="28">
                  <c:v>2.4992767008657335</c:v>
                </c:pt>
                <c:pt idx="29">
                  <c:v>2.0040949858678476</c:v>
                </c:pt>
                <c:pt idx="30">
                  <c:v>1.9862906994859011</c:v>
                </c:pt>
                <c:pt idx="31">
                  <c:v>1.800458460374335</c:v>
                </c:pt>
                <c:pt idx="32">
                  <c:v>1.5612133621169297</c:v>
                </c:pt>
                <c:pt idx="33">
                  <c:v>1.4020875525782832</c:v>
                </c:pt>
                <c:pt idx="34">
                  <c:v>1.2173680813655889</c:v>
                </c:pt>
                <c:pt idx="35">
                  <c:v>1.1372487926468298</c:v>
                </c:pt>
                <c:pt idx="36">
                  <c:v>1.0482273607370975</c:v>
                </c:pt>
                <c:pt idx="37">
                  <c:v>0.870184496917633</c:v>
                </c:pt>
                <c:pt idx="38">
                  <c:v>0.8434780673447132</c:v>
                </c:pt>
                <c:pt idx="39">
                  <c:v>0.65208198873878886</c:v>
                </c:pt>
                <c:pt idx="40">
                  <c:v>0.60089466539069281</c:v>
                </c:pt>
                <c:pt idx="41">
                  <c:v>0.52411368036854877</c:v>
                </c:pt>
                <c:pt idx="42">
                  <c:v>0.42285180157122826</c:v>
                </c:pt>
                <c:pt idx="43">
                  <c:v>0.3716644782231322</c:v>
                </c:pt>
                <c:pt idx="44">
                  <c:v>0.31491331538067791</c:v>
                </c:pt>
                <c:pt idx="45">
                  <c:v>0.26928983152694014</c:v>
                </c:pt>
                <c:pt idx="46">
                  <c:v>0.2459217056506354</c:v>
                </c:pt>
                <c:pt idx="47">
                  <c:v>0.19362161440366768</c:v>
                </c:pt>
                <c:pt idx="48">
                  <c:v>0.19695991810028263</c:v>
                </c:pt>
                <c:pt idx="49">
                  <c:v>0.13798321946008502</c:v>
                </c:pt>
                <c:pt idx="50">
                  <c:v>0.13909598735895667</c:v>
                </c:pt>
                <c:pt idx="51">
                  <c:v>0.10682571829167872</c:v>
                </c:pt>
                <c:pt idx="52">
                  <c:v>7.7893752921015733E-2</c:v>
                </c:pt>
                <c:pt idx="53">
                  <c:v>7.4555449224400772E-2</c:v>
                </c:pt>
                <c:pt idx="54">
                  <c:v>6.8991609730042508E-2</c:v>
                </c:pt>
                <c:pt idx="55">
                  <c:v>5.6751162842454322E-2</c:v>
                </c:pt>
                <c:pt idx="56">
                  <c:v>5.8976698640197632E-2</c:v>
                </c:pt>
                <c:pt idx="57">
                  <c:v>4.3397948055994479E-2</c:v>
                </c:pt>
                <c:pt idx="58">
                  <c:v>5.452562704471102E-2</c:v>
                </c:pt>
                <c:pt idx="59">
                  <c:v>3.8946876460507866E-2</c:v>
                </c:pt>
                <c:pt idx="60">
                  <c:v>5.1187323348096052E-2</c:v>
                </c:pt>
                <c:pt idx="61">
                  <c:v>5.7863930741325974E-2</c:v>
                </c:pt>
                <c:pt idx="62">
                  <c:v>5.3412859145839361E-2</c:v>
                </c:pt>
                <c:pt idx="63">
                  <c:v>6.2315002336812586E-2</c:v>
                </c:pt>
                <c:pt idx="64">
                  <c:v>5.00745554492244E-2</c:v>
                </c:pt>
                <c:pt idx="65">
                  <c:v>5.3412859145839361E-2</c:v>
                </c:pt>
                <c:pt idx="66">
                  <c:v>4.673625175260944E-2</c:v>
                </c:pt>
                <c:pt idx="67">
                  <c:v>4.7849019651481091E-2</c:v>
                </c:pt>
                <c:pt idx="68">
                  <c:v>5.5638394943582664E-2</c:v>
                </c:pt>
                <c:pt idx="69">
                  <c:v>3.7834108561636215E-2</c:v>
                </c:pt>
                <c:pt idx="70">
                  <c:v>5.452562704471102E-2</c:v>
                </c:pt>
                <c:pt idx="71">
                  <c:v>3.4495804865021254E-2</c:v>
                </c:pt>
                <c:pt idx="72">
                  <c:v>3.8946876460507866E-2</c:v>
                </c:pt>
                <c:pt idx="73">
                  <c:v>3.2270269067277944E-2</c:v>
                </c:pt>
                <c:pt idx="74">
                  <c:v>1.8917054280818107E-2</c:v>
                </c:pt>
                <c:pt idx="75">
                  <c:v>2.336812587630472E-2</c:v>
                </c:pt>
                <c:pt idx="76">
                  <c:v>2.5593661674048026E-2</c:v>
                </c:pt>
                <c:pt idx="77">
                  <c:v>2.8931965370662987E-2</c:v>
                </c:pt>
                <c:pt idx="78">
                  <c:v>2.1142590078561414E-2</c:v>
                </c:pt>
                <c:pt idx="79">
                  <c:v>1.0014911089844879E-2</c:v>
                </c:pt>
                <c:pt idx="80">
                  <c:v>1.8917054280818107E-2</c:v>
                </c:pt>
                <c:pt idx="81">
                  <c:v>6.6766073932299202E-3</c:v>
                </c:pt>
                <c:pt idx="82">
                  <c:v>1.335321478645984E-2</c:v>
                </c:pt>
                <c:pt idx="83">
                  <c:v>1.1127678988716532E-2</c:v>
                </c:pt>
                <c:pt idx="84">
                  <c:v>8.9021431909732263E-3</c:v>
                </c:pt>
                <c:pt idx="85">
                  <c:v>2.2255357977433066E-3</c:v>
                </c:pt>
                <c:pt idx="86">
                  <c:v>6.6766073932299202E-3</c:v>
                </c:pt>
                <c:pt idx="87">
                  <c:v>5.5638394943582662E-3</c:v>
                </c:pt>
                <c:pt idx="88">
                  <c:v>7.7893752921015733E-3</c:v>
                </c:pt>
                <c:pt idx="89">
                  <c:v>1.1127678988716533E-3</c:v>
                </c:pt>
                <c:pt idx="90">
                  <c:v>1.1127678988716533E-3</c:v>
                </c:pt>
                <c:pt idx="91">
                  <c:v>0</c:v>
                </c:pt>
                <c:pt idx="92">
                  <c:v>1.1127678988716533E-3</c:v>
                </c:pt>
                <c:pt idx="93">
                  <c:v>0</c:v>
                </c:pt>
                <c:pt idx="94">
                  <c:v>0</c:v>
                </c:pt>
                <c:pt idx="95">
                  <c:v>0</c:v>
                </c:pt>
                <c:pt idx="96">
                  <c:v>0</c:v>
                </c:pt>
                <c:pt idx="97">
                  <c:v>0</c:v>
                </c:pt>
                <c:pt idx="98">
                  <c:v>1.1127678988716533E-3</c:v>
                </c:pt>
                <c:pt idx="99">
                  <c:v>0</c:v>
                </c:pt>
              </c:numCache>
            </c:numRef>
          </c:val>
          <c:smooth val="0"/>
          <c:extLst xmlns:c16r2="http://schemas.microsoft.com/office/drawing/2015/06/chart">
            <c:ext xmlns:c16="http://schemas.microsoft.com/office/drawing/2014/chart" uri="{C3380CC4-5D6E-409C-BE32-E72D297353CC}">
              <c16:uniqueId val="{00000000-E6FB-4225-9366-28798ED68889}"/>
            </c:ext>
          </c:extLst>
        </c:ser>
        <c:ser>
          <c:idx val="1"/>
          <c:order val="1"/>
          <c:tx>
            <c:strRef>
              <c:f>'[tavole e grafici_migrazioni.xlsx]FIGURA 5.'!$G$23</c:f>
              <c:strCache>
                <c:ptCount val="1"/>
                <c:pt idx="0">
                  <c:v>Africa_f</c:v>
                </c:pt>
              </c:strCache>
            </c:strRef>
          </c:tx>
          <c:spPr>
            <a:ln w="28575" cap="rnd">
              <a:solidFill>
                <a:srgbClr val="E42618"/>
              </a:solidFill>
              <a:round/>
            </a:ln>
            <a:effectLst/>
          </c:spPr>
          <c:marker>
            <c:symbol val="none"/>
          </c:marker>
          <c:cat>
            <c:strRef>
              <c:f>'[tavole e grafici_migrazioni.xlsx]FIGURA 5.'!$E$24:$E$123</c:f>
              <c:strCach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99</c:v>
                </c:pt>
                <c:pt idx="99">
                  <c:v>100+</c:v>
                </c:pt>
              </c:strCache>
            </c:strRef>
          </c:cat>
          <c:val>
            <c:numRef>
              <c:f>'[tavole e grafici_migrazioni.xlsx]FIGURA 5.'!$G$24:$G$123</c:f>
              <c:numCache>
                <c:formatCode>#,#00</c:formatCode>
                <c:ptCount val="100"/>
                <c:pt idx="0">
                  <c:v>0.500745554492244</c:v>
                </c:pt>
                <c:pt idx="1">
                  <c:v>0.60312020118843612</c:v>
                </c:pt>
                <c:pt idx="2">
                  <c:v>0.53301582355952193</c:v>
                </c:pt>
                <c:pt idx="3">
                  <c:v>0.47849019651481095</c:v>
                </c:pt>
                <c:pt idx="4">
                  <c:v>0.442881623750918</c:v>
                </c:pt>
                <c:pt idx="5">
                  <c:v>0.44176885585204639</c:v>
                </c:pt>
                <c:pt idx="6">
                  <c:v>0.32492822647052277</c:v>
                </c:pt>
                <c:pt idx="7">
                  <c:v>0.28041751051565666</c:v>
                </c:pt>
                <c:pt idx="8">
                  <c:v>0.32604099436939443</c:v>
                </c:pt>
                <c:pt idx="9">
                  <c:v>0.21810250817884408</c:v>
                </c:pt>
                <c:pt idx="10">
                  <c:v>0.27596643892017003</c:v>
                </c:pt>
                <c:pt idx="11">
                  <c:v>0.2314557229653039</c:v>
                </c:pt>
                <c:pt idx="12">
                  <c:v>0.22589188347094563</c:v>
                </c:pt>
                <c:pt idx="13">
                  <c:v>0.24703447354950703</c:v>
                </c:pt>
                <c:pt idx="14">
                  <c:v>0.21365143658335745</c:v>
                </c:pt>
                <c:pt idx="15">
                  <c:v>0.23479402666191887</c:v>
                </c:pt>
                <c:pt idx="16">
                  <c:v>0.26038768833596693</c:v>
                </c:pt>
                <c:pt idx="17">
                  <c:v>0.31157501168406293</c:v>
                </c:pt>
                <c:pt idx="18">
                  <c:v>0.81565886987292191</c:v>
                </c:pt>
                <c:pt idx="19">
                  <c:v>0.94585271404090543</c:v>
                </c:pt>
                <c:pt idx="20">
                  <c:v>1.1761956691073376</c:v>
                </c:pt>
                <c:pt idx="21">
                  <c:v>1.280795851601273</c:v>
                </c:pt>
                <c:pt idx="22">
                  <c:v>1.3397725502414706</c:v>
                </c:pt>
                <c:pt idx="23">
                  <c:v>1.3063895132753209</c:v>
                </c:pt>
                <c:pt idx="24">
                  <c:v>1.2485255825339949</c:v>
                </c:pt>
                <c:pt idx="25">
                  <c:v>1.2463000467362517</c:v>
                </c:pt>
                <c:pt idx="26">
                  <c:v>1.2118042418712305</c:v>
                </c:pt>
                <c:pt idx="27">
                  <c:v>1.0081677163777181</c:v>
                </c:pt>
                <c:pt idx="28">
                  <c:v>0.93695057084993216</c:v>
                </c:pt>
                <c:pt idx="29">
                  <c:v>0.89132708699619434</c:v>
                </c:pt>
                <c:pt idx="30">
                  <c:v>0.81009503037856367</c:v>
                </c:pt>
                <c:pt idx="31">
                  <c:v>0.80786949458082036</c:v>
                </c:pt>
                <c:pt idx="32">
                  <c:v>0.70104377628914161</c:v>
                </c:pt>
                <c:pt idx="33">
                  <c:v>0.67656288251396524</c:v>
                </c:pt>
                <c:pt idx="34">
                  <c:v>0.5430307346493668</c:v>
                </c:pt>
                <c:pt idx="35">
                  <c:v>0.52077537667193385</c:v>
                </c:pt>
                <c:pt idx="36">
                  <c:v>0.45846037433512116</c:v>
                </c:pt>
                <c:pt idx="37">
                  <c:v>0.45289653484076292</c:v>
                </c:pt>
                <c:pt idx="38">
                  <c:v>0.42730287316671489</c:v>
                </c:pt>
                <c:pt idx="39">
                  <c:v>0.38390492511072044</c:v>
                </c:pt>
                <c:pt idx="40">
                  <c:v>0.32492822647052277</c:v>
                </c:pt>
                <c:pt idx="41">
                  <c:v>0.28375581421227158</c:v>
                </c:pt>
                <c:pt idx="42">
                  <c:v>0.25816215253822355</c:v>
                </c:pt>
                <c:pt idx="43">
                  <c:v>0.23924509825740548</c:v>
                </c:pt>
                <c:pt idx="44">
                  <c:v>0.19028331070705271</c:v>
                </c:pt>
                <c:pt idx="45">
                  <c:v>0.17359179222397791</c:v>
                </c:pt>
                <c:pt idx="46">
                  <c:v>0.15690027374090312</c:v>
                </c:pt>
                <c:pt idx="47">
                  <c:v>0.13464491576347007</c:v>
                </c:pt>
                <c:pt idx="48">
                  <c:v>0.13353214786459838</c:v>
                </c:pt>
                <c:pt idx="49">
                  <c:v>0.13798321946008502</c:v>
                </c:pt>
                <c:pt idx="50">
                  <c:v>9.5698039302962182E-2</c:v>
                </c:pt>
                <c:pt idx="51">
                  <c:v>9.681080720183384E-2</c:v>
                </c:pt>
                <c:pt idx="52">
                  <c:v>0.12017893307813855</c:v>
                </c:pt>
                <c:pt idx="53">
                  <c:v>9.3472503505218879E-2</c:v>
                </c:pt>
                <c:pt idx="54">
                  <c:v>9.2359735606347235E-2</c:v>
                </c:pt>
                <c:pt idx="55">
                  <c:v>0.11350232568490864</c:v>
                </c:pt>
                <c:pt idx="56">
                  <c:v>0.13241937996572675</c:v>
                </c:pt>
                <c:pt idx="57">
                  <c:v>0.10571295039280706</c:v>
                </c:pt>
                <c:pt idx="58">
                  <c:v>0.13241937996572675</c:v>
                </c:pt>
                <c:pt idx="59">
                  <c:v>0.12463000467362517</c:v>
                </c:pt>
                <c:pt idx="60">
                  <c:v>0.11795339728039526</c:v>
                </c:pt>
                <c:pt idx="61">
                  <c:v>0.12351723677475351</c:v>
                </c:pt>
                <c:pt idx="62">
                  <c:v>0.13687045156121336</c:v>
                </c:pt>
                <c:pt idx="63">
                  <c:v>0.112389557786037</c:v>
                </c:pt>
                <c:pt idx="64">
                  <c:v>0.10126187879732046</c:v>
                </c:pt>
                <c:pt idx="65">
                  <c:v>0.12240446887588187</c:v>
                </c:pt>
                <c:pt idx="66">
                  <c:v>0.13241937996572675</c:v>
                </c:pt>
                <c:pt idx="67">
                  <c:v>0.1001491108984488</c:v>
                </c:pt>
                <c:pt idx="68">
                  <c:v>0.1023746466961921</c:v>
                </c:pt>
                <c:pt idx="69">
                  <c:v>9.0134199808603918E-2</c:v>
                </c:pt>
                <c:pt idx="70">
                  <c:v>8.3457592415373996E-2</c:v>
                </c:pt>
                <c:pt idx="71">
                  <c:v>9.2359735606347235E-2</c:v>
                </c:pt>
                <c:pt idx="72">
                  <c:v>6.787884183117085E-2</c:v>
                </c:pt>
                <c:pt idx="73">
                  <c:v>7.4555449224400772E-2</c:v>
                </c:pt>
                <c:pt idx="74">
                  <c:v>6.6766073932299191E-2</c:v>
                </c:pt>
                <c:pt idx="75">
                  <c:v>4.8961787550352742E-2</c:v>
                </c:pt>
                <c:pt idx="76">
                  <c:v>4.7849019651481091E-2</c:v>
                </c:pt>
                <c:pt idx="77">
                  <c:v>3.5608572763892905E-2</c:v>
                </c:pt>
                <c:pt idx="78">
                  <c:v>3.8946876460507866E-2</c:v>
                </c:pt>
                <c:pt idx="79">
                  <c:v>2.336812587630472E-2</c:v>
                </c:pt>
                <c:pt idx="80">
                  <c:v>2.0029822179689759E-2</c:v>
                </c:pt>
                <c:pt idx="81">
                  <c:v>2.2255357977433065E-2</c:v>
                </c:pt>
                <c:pt idx="82">
                  <c:v>1.4465982685331493E-2</c:v>
                </c:pt>
                <c:pt idx="83">
                  <c:v>2.0029822179689759E-2</c:v>
                </c:pt>
                <c:pt idx="84">
                  <c:v>8.9021431909732263E-3</c:v>
                </c:pt>
                <c:pt idx="85">
                  <c:v>1.0014911089844879E-2</c:v>
                </c:pt>
                <c:pt idx="86">
                  <c:v>7.7893752921015733E-3</c:v>
                </c:pt>
                <c:pt idx="87">
                  <c:v>3.3383036966149601E-3</c:v>
                </c:pt>
                <c:pt idx="88">
                  <c:v>4.4510715954866132E-3</c:v>
                </c:pt>
                <c:pt idx="89">
                  <c:v>0</c:v>
                </c:pt>
                <c:pt idx="90">
                  <c:v>4.4510715954866132E-3</c:v>
                </c:pt>
                <c:pt idx="91">
                  <c:v>1.1127678988716533E-3</c:v>
                </c:pt>
                <c:pt idx="92">
                  <c:v>0</c:v>
                </c:pt>
                <c:pt idx="93">
                  <c:v>2.2255357977433066E-3</c:v>
                </c:pt>
                <c:pt idx="94">
                  <c:v>1.1127678988716533E-3</c:v>
                </c:pt>
                <c:pt idx="95">
                  <c:v>0</c:v>
                </c:pt>
                <c:pt idx="96">
                  <c:v>0</c:v>
                </c:pt>
                <c:pt idx="97">
                  <c:v>0</c:v>
                </c:pt>
                <c:pt idx="98">
                  <c:v>0</c:v>
                </c:pt>
                <c:pt idx="99">
                  <c:v>1.1127678988716533E-3</c:v>
                </c:pt>
              </c:numCache>
            </c:numRef>
          </c:val>
          <c:smooth val="0"/>
          <c:extLst xmlns:c16r2="http://schemas.microsoft.com/office/drawing/2015/06/chart">
            <c:ext xmlns:c16="http://schemas.microsoft.com/office/drawing/2014/chart" uri="{C3380CC4-5D6E-409C-BE32-E72D297353CC}">
              <c16:uniqueId val="{00000001-E6FB-4225-9366-28798ED68889}"/>
            </c:ext>
          </c:extLst>
        </c:ser>
        <c:dLbls>
          <c:showLegendKey val="0"/>
          <c:showVal val="0"/>
          <c:showCatName val="0"/>
          <c:showSerName val="0"/>
          <c:showPercent val="0"/>
          <c:showBubbleSize val="0"/>
        </c:dLbls>
        <c:marker val="1"/>
        <c:smooth val="0"/>
        <c:axId val="166238464"/>
        <c:axId val="166240256"/>
      </c:lineChart>
      <c:catAx>
        <c:axId val="166238464"/>
        <c:scaling>
          <c:orientation val="minMax"/>
        </c:scaling>
        <c:delete val="0"/>
        <c:axPos val="b"/>
        <c:majorGridlines>
          <c:spPr>
            <a:ln>
              <a:solidFill>
                <a:schemeClr val="bg1"/>
              </a:solidFill>
            </a:ln>
          </c:spPr>
        </c:majorGridlines>
        <c:numFmt formatCode="General" sourceLinked="1"/>
        <c:majorTickMark val="none"/>
        <c:minorTickMark val="none"/>
        <c:tickLblPos val="nextTo"/>
        <c:spPr>
          <a:noFill/>
          <a:ln w="9525" cap="flat" cmpd="sng" algn="ctr">
            <a:solidFill>
              <a:schemeClr val="bg1"/>
            </a:solidFill>
            <a:round/>
          </a:ln>
          <a:effectLst/>
        </c:spPr>
        <c:txPr>
          <a:bodyPr rot="-60000000" vert="horz"/>
          <a:lstStyle/>
          <a:p>
            <a:pPr>
              <a:defRPr/>
            </a:pPr>
            <a:endParaRPr lang="it-IT"/>
          </a:p>
        </c:txPr>
        <c:crossAx val="166240256"/>
        <c:crosses val="autoZero"/>
        <c:auto val="1"/>
        <c:lblAlgn val="ctr"/>
        <c:lblOffset val="100"/>
        <c:tickLblSkip val="10"/>
        <c:tickMarkSkip val="10"/>
        <c:noMultiLvlLbl val="0"/>
      </c:catAx>
      <c:valAx>
        <c:axId val="166240256"/>
        <c:scaling>
          <c:orientation val="minMax"/>
          <c:max val="6"/>
          <c:min val="0"/>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it-IT"/>
          </a:p>
        </c:txPr>
        <c:crossAx val="166238464"/>
        <c:crosses val="autoZero"/>
        <c:crossBetween val="between"/>
        <c:majorUnit val="1"/>
      </c:valAx>
      <c:spPr>
        <a:noFill/>
        <a:ln>
          <a:noFill/>
        </a:ln>
        <a:effectLst/>
      </c:spPr>
    </c:plotArea>
    <c:legend>
      <c:legendPos val="t"/>
      <c:layout>
        <c:manualLayout>
          <c:xMode val="edge"/>
          <c:yMode val="edge"/>
          <c:x val="0.28729586621791481"/>
          <c:y val="0"/>
          <c:w val="0.43342633930332963"/>
          <c:h val="0.14922888849487551"/>
        </c:manualLayout>
      </c:layout>
      <c:overlay val="0"/>
      <c:spPr>
        <a:noFill/>
        <a:ln>
          <a:noFill/>
        </a:ln>
        <a:effectLst/>
      </c:spPr>
      <c:txPr>
        <a:bodyPr rot="0" vert="horz"/>
        <a:lstStyle/>
        <a:p>
          <a:pPr>
            <a:defRPr/>
          </a:pPr>
          <a:endParaRPr lang="it-IT"/>
        </a:p>
      </c:txPr>
    </c:legend>
    <c:plotVisOnly val="1"/>
    <c:dispBlanksAs val="gap"/>
    <c:showDLblsOverMax val="0"/>
  </c:chart>
  <c:spPr>
    <a:solidFill>
      <a:schemeClr val="bg1">
        <a:alpha val="0"/>
      </a:schemeClr>
    </a:solidFill>
    <a:ln w="9525" cap="flat" cmpd="sng" algn="ctr">
      <a:noFill/>
      <a:round/>
    </a:ln>
    <a:effectLst/>
  </c:spPr>
  <c:txPr>
    <a:bodyPr/>
    <a:lstStyle/>
    <a:p>
      <a:pPr>
        <a:defRPr sz="700">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02234361198233E-2"/>
          <c:y val="0.15040621393779574"/>
          <c:w val="0.90824020024756591"/>
          <c:h val="0.69708517140521231"/>
        </c:manualLayout>
      </c:layout>
      <c:lineChart>
        <c:grouping val="standard"/>
        <c:varyColors val="0"/>
        <c:ser>
          <c:idx val="0"/>
          <c:order val="0"/>
          <c:tx>
            <c:strRef>
              <c:f>'[tavole e grafici_migrazioni.xlsx]FIGURA 5.'!$J$23</c:f>
              <c:strCache>
                <c:ptCount val="1"/>
                <c:pt idx="0">
                  <c:v>Asia_m</c:v>
                </c:pt>
              </c:strCache>
            </c:strRef>
          </c:tx>
          <c:spPr>
            <a:ln w="28575" cap="rnd">
              <a:solidFill>
                <a:srgbClr val="1F497D"/>
              </a:solidFill>
              <a:round/>
            </a:ln>
            <a:effectLst/>
          </c:spPr>
          <c:marker>
            <c:symbol val="none"/>
          </c:marker>
          <c:cat>
            <c:strRef>
              <c:f>'[tavole e grafici_migrazioni.xlsx]FIGURA 5.'!$I$24:$I$123</c:f>
              <c:strCach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99</c:v>
                </c:pt>
                <c:pt idx="99">
                  <c:v>100+</c:v>
                </c:pt>
              </c:strCache>
            </c:strRef>
          </c:cat>
          <c:val>
            <c:numRef>
              <c:f>'[tavole e grafici_migrazioni.xlsx]FIGURA 5.'!$J$24:$J$123</c:f>
              <c:numCache>
                <c:formatCode>#,#00</c:formatCode>
                <c:ptCount val="100"/>
                <c:pt idx="0">
                  <c:v>0.17240478553889557</c:v>
                </c:pt>
                <c:pt idx="1">
                  <c:v>0.46497048221096082</c:v>
                </c:pt>
                <c:pt idx="2">
                  <c:v>0.68439475471500966</c:v>
                </c:pt>
                <c:pt idx="3">
                  <c:v>0.7105166919178727</c:v>
                </c:pt>
                <c:pt idx="4">
                  <c:v>0.66872159239329187</c:v>
                </c:pt>
                <c:pt idx="5">
                  <c:v>0.65130696759138329</c:v>
                </c:pt>
                <c:pt idx="6">
                  <c:v>0.56597530606203095</c:v>
                </c:pt>
                <c:pt idx="7">
                  <c:v>0.51024850669592325</c:v>
                </c:pt>
                <c:pt idx="8">
                  <c:v>0.57294115598279438</c:v>
                </c:pt>
                <c:pt idx="9">
                  <c:v>0.57119969350260347</c:v>
                </c:pt>
                <c:pt idx="10">
                  <c:v>0.5955801682252756</c:v>
                </c:pt>
                <c:pt idx="11">
                  <c:v>0.5781655434233669</c:v>
                </c:pt>
                <c:pt idx="12">
                  <c:v>0.62866795534890196</c:v>
                </c:pt>
                <c:pt idx="13">
                  <c:v>0.74708740400188078</c:v>
                </c:pt>
                <c:pt idx="14">
                  <c:v>0.67917036727443714</c:v>
                </c:pt>
                <c:pt idx="15">
                  <c:v>0.6722045173536737</c:v>
                </c:pt>
                <c:pt idx="16">
                  <c:v>0.76624349128398028</c:v>
                </c:pt>
                <c:pt idx="17">
                  <c:v>1.2973895477421939</c:v>
                </c:pt>
                <c:pt idx="18">
                  <c:v>3.0945788272991659</c:v>
                </c:pt>
                <c:pt idx="19">
                  <c:v>2.6191595702070596</c:v>
                </c:pt>
                <c:pt idx="20">
                  <c:v>2.1820524876791527</c:v>
                </c:pt>
                <c:pt idx="21">
                  <c:v>1.8651063162844157</c:v>
                </c:pt>
                <c:pt idx="22">
                  <c:v>1.7832575797154451</c:v>
                </c:pt>
                <c:pt idx="23">
                  <c:v>1.8947111784476605</c:v>
                </c:pt>
                <c:pt idx="24">
                  <c:v>2.15593055047629</c:v>
                </c:pt>
                <c:pt idx="25">
                  <c:v>2.081047663828083</c:v>
                </c:pt>
                <c:pt idx="26">
                  <c:v>2.2795743865698412</c:v>
                </c:pt>
                <c:pt idx="27">
                  <c:v>1.990491614858158</c:v>
                </c:pt>
                <c:pt idx="28">
                  <c:v>2.3335597234557581</c:v>
                </c:pt>
                <c:pt idx="29">
                  <c:v>2.0531842641450289</c:v>
                </c:pt>
                <c:pt idx="30">
                  <c:v>2.1837939501593437</c:v>
                </c:pt>
                <c:pt idx="31">
                  <c:v>1.8529160789230794</c:v>
                </c:pt>
                <c:pt idx="32">
                  <c:v>1.7484283301116277</c:v>
                </c:pt>
                <c:pt idx="33">
                  <c:v>1.731013705309719</c:v>
                </c:pt>
                <c:pt idx="34">
                  <c:v>1.5481601448896785</c:v>
                </c:pt>
                <c:pt idx="35">
                  <c:v>1.4419309335980357</c:v>
                </c:pt>
                <c:pt idx="36">
                  <c:v>1.3827212092715462</c:v>
                </c:pt>
                <c:pt idx="37">
                  <c:v>1.2416627483760863</c:v>
                </c:pt>
                <c:pt idx="38">
                  <c:v>1.0588091879560455</c:v>
                </c:pt>
                <c:pt idx="39">
                  <c:v>0.95954582658516629</c:v>
                </c:pt>
                <c:pt idx="40">
                  <c:v>0.81152151576894282</c:v>
                </c:pt>
                <c:pt idx="41">
                  <c:v>0.65304843007157409</c:v>
                </c:pt>
                <c:pt idx="42">
                  <c:v>0.64608258015081066</c:v>
                </c:pt>
                <c:pt idx="43">
                  <c:v>0.66523866743291016</c:v>
                </c:pt>
                <c:pt idx="44">
                  <c:v>0.54681921877993134</c:v>
                </c:pt>
                <c:pt idx="45">
                  <c:v>0.49109241941382376</c:v>
                </c:pt>
                <c:pt idx="46">
                  <c:v>0.42317538268638</c:v>
                </c:pt>
                <c:pt idx="47">
                  <c:v>0.43362415756752526</c:v>
                </c:pt>
                <c:pt idx="48">
                  <c:v>0.39182905804294443</c:v>
                </c:pt>
                <c:pt idx="49">
                  <c:v>0.31868763387492816</c:v>
                </c:pt>
                <c:pt idx="50">
                  <c:v>0.29430715915225608</c:v>
                </c:pt>
                <c:pt idx="51">
                  <c:v>0.23683889730595756</c:v>
                </c:pt>
                <c:pt idx="52">
                  <c:v>0.17588771049927729</c:v>
                </c:pt>
                <c:pt idx="53">
                  <c:v>0.19330233530118593</c:v>
                </c:pt>
                <c:pt idx="54">
                  <c:v>0.12712676105393309</c:v>
                </c:pt>
                <c:pt idx="55">
                  <c:v>0.14802431081622347</c:v>
                </c:pt>
                <c:pt idx="56">
                  <c:v>0.10100482385107014</c:v>
                </c:pt>
                <c:pt idx="57">
                  <c:v>8.5331661529352357E-2</c:v>
                </c:pt>
                <c:pt idx="58">
                  <c:v>9.2297511450115804E-2</c:v>
                </c:pt>
                <c:pt idx="59">
                  <c:v>9.0556048969924932E-2</c:v>
                </c:pt>
                <c:pt idx="60">
                  <c:v>8.0107274088779767E-2</c:v>
                </c:pt>
                <c:pt idx="61">
                  <c:v>7.8365811608588895E-2</c:v>
                </c:pt>
                <c:pt idx="62">
                  <c:v>6.4434111767061972E-2</c:v>
                </c:pt>
                <c:pt idx="63">
                  <c:v>6.9658499207634575E-2</c:v>
                </c:pt>
                <c:pt idx="64">
                  <c:v>8.0107274088779767E-2</c:v>
                </c:pt>
                <c:pt idx="65">
                  <c:v>5.5726799366107659E-2</c:v>
                </c:pt>
                <c:pt idx="66">
                  <c:v>4.8760949445344204E-2</c:v>
                </c:pt>
                <c:pt idx="67">
                  <c:v>6.2692649286871113E-2</c:v>
                </c:pt>
                <c:pt idx="68">
                  <c:v>5.3985336885916793E-2</c:v>
                </c:pt>
                <c:pt idx="69">
                  <c:v>5.3985336885916793E-2</c:v>
                </c:pt>
                <c:pt idx="70">
                  <c:v>4.0053637044389884E-2</c:v>
                </c:pt>
                <c:pt idx="71">
                  <c:v>4.7019486965153338E-2</c:v>
                </c:pt>
                <c:pt idx="72">
                  <c:v>5.0502411925535069E-2</c:v>
                </c:pt>
                <c:pt idx="73">
                  <c:v>3.3087787123626422E-2</c:v>
                </c:pt>
                <c:pt idx="74">
                  <c:v>1.7414624801908644E-2</c:v>
                </c:pt>
                <c:pt idx="75">
                  <c:v>2.9604862163244695E-2</c:v>
                </c:pt>
                <c:pt idx="76">
                  <c:v>1.3931699841526915E-2</c:v>
                </c:pt>
                <c:pt idx="77">
                  <c:v>1.2190237361336051E-2</c:v>
                </c:pt>
                <c:pt idx="78">
                  <c:v>2.612193720286296E-2</c:v>
                </c:pt>
                <c:pt idx="79">
                  <c:v>8.7073124009543219E-3</c:v>
                </c:pt>
                <c:pt idx="80">
                  <c:v>5.2243874405725928E-3</c:v>
                </c:pt>
                <c:pt idx="81">
                  <c:v>1.0448774881145186E-2</c:v>
                </c:pt>
                <c:pt idx="82">
                  <c:v>8.7073124009543219E-3</c:v>
                </c:pt>
                <c:pt idx="83">
                  <c:v>8.7073124009543219E-3</c:v>
                </c:pt>
                <c:pt idx="84">
                  <c:v>1.7414624801908643E-3</c:v>
                </c:pt>
                <c:pt idx="85">
                  <c:v>5.2243874405725928E-3</c:v>
                </c:pt>
                <c:pt idx="86">
                  <c:v>1.7414624801908643E-3</c:v>
                </c:pt>
                <c:pt idx="87">
                  <c:v>5.2243874405725928E-3</c:v>
                </c:pt>
                <c:pt idx="88">
                  <c:v>1.7414624801908643E-3</c:v>
                </c:pt>
                <c:pt idx="89">
                  <c:v>1.7414624801908643E-3</c:v>
                </c:pt>
                <c:pt idx="90">
                  <c:v>0</c:v>
                </c:pt>
                <c:pt idx="91">
                  <c:v>0</c:v>
                </c:pt>
                <c:pt idx="92">
                  <c:v>0</c:v>
                </c:pt>
                <c:pt idx="93">
                  <c:v>1.7414624801908643E-3</c:v>
                </c:pt>
                <c:pt idx="94">
                  <c:v>0</c:v>
                </c:pt>
                <c:pt idx="95">
                  <c:v>0</c:v>
                </c:pt>
                <c:pt idx="96">
                  <c:v>0</c:v>
                </c:pt>
                <c:pt idx="97">
                  <c:v>0</c:v>
                </c:pt>
                <c:pt idx="98">
                  <c:v>0</c:v>
                </c:pt>
                <c:pt idx="99">
                  <c:v>0</c:v>
                </c:pt>
              </c:numCache>
            </c:numRef>
          </c:val>
          <c:smooth val="0"/>
          <c:extLst xmlns:c16r2="http://schemas.microsoft.com/office/drawing/2015/06/chart">
            <c:ext xmlns:c16="http://schemas.microsoft.com/office/drawing/2014/chart" uri="{C3380CC4-5D6E-409C-BE32-E72D297353CC}">
              <c16:uniqueId val="{00000000-898D-4FBB-B7F6-2BEDE6FDDF45}"/>
            </c:ext>
          </c:extLst>
        </c:ser>
        <c:ser>
          <c:idx val="1"/>
          <c:order val="1"/>
          <c:tx>
            <c:strRef>
              <c:f>'[tavole e grafici_migrazioni.xlsx]FIGURA 5.'!$K$23</c:f>
              <c:strCache>
                <c:ptCount val="1"/>
                <c:pt idx="0">
                  <c:v>Asia_f</c:v>
                </c:pt>
              </c:strCache>
            </c:strRef>
          </c:tx>
          <c:spPr>
            <a:ln w="28575" cap="rnd">
              <a:solidFill>
                <a:srgbClr val="E42618"/>
              </a:solidFill>
              <a:round/>
            </a:ln>
            <a:effectLst/>
          </c:spPr>
          <c:marker>
            <c:symbol val="none"/>
          </c:marker>
          <c:cat>
            <c:strRef>
              <c:f>'[tavole e grafici_migrazioni.xlsx]FIGURA 5.'!$I$24:$I$123</c:f>
              <c:strCach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99</c:v>
                </c:pt>
                <c:pt idx="99">
                  <c:v>100+</c:v>
                </c:pt>
              </c:strCache>
            </c:strRef>
          </c:cat>
          <c:val>
            <c:numRef>
              <c:f>'[tavole e grafici_migrazioni.xlsx]FIGURA 5.'!$K$24:$K$123</c:f>
              <c:numCache>
                <c:formatCode>#,#00</c:formatCode>
                <c:ptCount val="100"/>
                <c:pt idx="0">
                  <c:v>0.15673162321717779</c:v>
                </c:pt>
                <c:pt idx="1">
                  <c:v>0.49109241941382376</c:v>
                </c:pt>
                <c:pt idx="2">
                  <c:v>0.66175574247252844</c:v>
                </c:pt>
                <c:pt idx="3">
                  <c:v>0.68613621719520046</c:v>
                </c:pt>
                <c:pt idx="4">
                  <c:v>0.59035578078470297</c:v>
                </c:pt>
                <c:pt idx="5">
                  <c:v>0.58338993086393953</c:v>
                </c:pt>
                <c:pt idx="6">
                  <c:v>0.51024850669592325</c:v>
                </c:pt>
                <c:pt idx="7">
                  <c:v>0.44407293244867041</c:v>
                </c:pt>
                <c:pt idx="8">
                  <c:v>0.44059000748828864</c:v>
                </c:pt>
                <c:pt idx="9">
                  <c:v>0.47019486965153334</c:v>
                </c:pt>
                <c:pt idx="10">
                  <c:v>0.52592166901764104</c:v>
                </c:pt>
                <c:pt idx="11">
                  <c:v>0.50154119429496891</c:v>
                </c:pt>
                <c:pt idx="12">
                  <c:v>0.51373143165630497</c:v>
                </c:pt>
                <c:pt idx="13">
                  <c:v>0.53288751893840447</c:v>
                </c:pt>
                <c:pt idx="14">
                  <c:v>0.52592166901764104</c:v>
                </c:pt>
                <c:pt idx="15">
                  <c:v>0.44755585740905207</c:v>
                </c:pt>
                <c:pt idx="16">
                  <c:v>0.46497048221096082</c:v>
                </c:pt>
                <c:pt idx="17">
                  <c:v>0.51721435661668669</c:v>
                </c:pt>
                <c:pt idx="18">
                  <c:v>0.60951186806680246</c:v>
                </c:pt>
                <c:pt idx="19">
                  <c:v>0.66349720495271924</c:v>
                </c:pt>
                <c:pt idx="20">
                  <c:v>0.77669226616512543</c:v>
                </c:pt>
                <c:pt idx="21">
                  <c:v>0.84635076537275999</c:v>
                </c:pt>
                <c:pt idx="22">
                  <c:v>1.0257214008324191</c:v>
                </c:pt>
                <c:pt idx="23">
                  <c:v>1.2137993486930323</c:v>
                </c:pt>
                <c:pt idx="24">
                  <c:v>1.3531163471083014</c:v>
                </c:pt>
                <c:pt idx="25">
                  <c:v>1.462828483360326</c:v>
                </c:pt>
                <c:pt idx="26">
                  <c:v>1.5081065078452884</c:v>
                </c:pt>
                <c:pt idx="27">
                  <c:v>1.4123260714347909</c:v>
                </c:pt>
                <c:pt idx="28">
                  <c:v>1.4227748463159362</c:v>
                </c:pt>
                <c:pt idx="29">
                  <c:v>1.4227748463159362</c:v>
                </c:pt>
                <c:pt idx="30">
                  <c:v>1.3896870591923098</c:v>
                </c:pt>
                <c:pt idx="31">
                  <c:v>1.2137993486930323</c:v>
                </c:pt>
                <c:pt idx="32">
                  <c:v>1.0692579628371908</c:v>
                </c:pt>
                <c:pt idx="33">
                  <c:v>0.97870191386726579</c:v>
                </c:pt>
                <c:pt idx="34">
                  <c:v>0.83590199049161473</c:v>
                </c:pt>
                <c:pt idx="35">
                  <c:v>0.84112637793218747</c:v>
                </c:pt>
                <c:pt idx="36">
                  <c:v>0.89685317729829506</c:v>
                </c:pt>
                <c:pt idx="37">
                  <c:v>0.75753617888302593</c:v>
                </c:pt>
                <c:pt idx="38">
                  <c:v>0.68787767967539137</c:v>
                </c:pt>
                <c:pt idx="39">
                  <c:v>0.5781655434233669</c:v>
                </c:pt>
                <c:pt idx="40">
                  <c:v>0.61996064294794773</c:v>
                </c:pt>
                <c:pt idx="41">
                  <c:v>0.57468261846298518</c:v>
                </c:pt>
                <c:pt idx="42">
                  <c:v>0.50850704421573234</c:v>
                </c:pt>
                <c:pt idx="43">
                  <c:v>0.44581439492886127</c:v>
                </c:pt>
                <c:pt idx="44">
                  <c:v>0.46497048221096082</c:v>
                </c:pt>
                <c:pt idx="45">
                  <c:v>0.43014123260714349</c:v>
                </c:pt>
                <c:pt idx="46">
                  <c:v>0.30301447155321037</c:v>
                </c:pt>
                <c:pt idx="47">
                  <c:v>0.30301447155321037</c:v>
                </c:pt>
                <c:pt idx="48">
                  <c:v>0.31172178395416472</c:v>
                </c:pt>
                <c:pt idx="49">
                  <c:v>0.26296083450882052</c:v>
                </c:pt>
                <c:pt idx="50">
                  <c:v>0.20375111018233111</c:v>
                </c:pt>
                <c:pt idx="51">
                  <c:v>0.20723403514271285</c:v>
                </c:pt>
                <c:pt idx="52">
                  <c:v>0.18981941034080421</c:v>
                </c:pt>
                <c:pt idx="53">
                  <c:v>0.16718039809832297</c:v>
                </c:pt>
                <c:pt idx="54">
                  <c:v>0.15499016073698693</c:v>
                </c:pt>
                <c:pt idx="55">
                  <c:v>0.14802431081622347</c:v>
                </c:pt>
                <c:pt idx="56">
                  <c:v>0.12712676105393309</c:v>
                </c:pt>
                <c:pt idx="57">
                  <c:v>0.11667798617278791</c:v>
                </c:pt>
                <c:pt idx="58">
                  <c:v>0.10797067377183359</c:v>
                </c:pt>
                <c:pt idx="59">
                  <c:v>0.12886822353412394</c:v>
                </c:pt>
                <c:pt idx="60">
                  <c:v>0.11667798617278791</c:v>
                </c:pt>
                <c:pt idx="61">
                  <c:v>0.11145359873221532</c:v>
                </c:pt>
                <c:pt idx="62">
                  <c:v>9.5780436410497535E-2</c:v>
                </c:pt>
                <c:pt idx="63">
                  <c:v>9.9263361370879266E-2</c:v>
                </c:pt>
                <c:pt idx="64">
                  <c:v>9.5780436410497535E-2</c:v>
                </c:pt>
                <c:pt idx="65">
                  <c:v>8.1848736568970612E-2</c:v>
                </c:pt>
                <c:pt idx="66">
                  <c:v>7.8365811608588895E-2</c:v>
                </c:pt>
                <c:pt idx="67">
                  <c:v>6.2692649286871113E-2</c:v>
                </c:pt>
                <c:pt idx="68">
                  <c:v>6.6175574247252844E-2</c:v>
                </c:pt>
                <c:pt idx="69">
                  <c:v>6.2692649286871113E-2</c:v>
                </c:pt>
                <c:pt idx="70">
                  <c:v>7.3141424168016292E-2</c:v>
                </c:pt>
                <c:pt idx="71">
                  <c:v>5.2243874405725921E-2</c:v>
                </c:pt>
                <c:pt idx="72">
                  <c:v>3.1346324643435557E-2</c:v>
                </c:pt>
                <c:pt idx="73">
                  <c:v>3.6570712084008146E-2</c:v>
                </c:pt>
                <c:pt idx="74">
                  <c:v>4.5278024484962466E-2</c:v>
                </c:pt>
                <c:pt idx="75">
                  <c:v>2.7863399683053829E-2</c:v>
                </c:pt>
                <c:pt idx="76">
                  <c:v>1.2190237361336051E-2</c:v>
                </c:pt>
                <c:pt idx="77">
                  <c:v>2.4380474722672102E-2</c:v>
                </c:pt>
                <c:pt idx="78">
                  <c:v>1.7414624801908644E-2</c:v>
                </c:pt>
                <c:pt idx="79">
                  <c:v>2.2639012242481233E-2</c:v>
                </c:pt>
                <c:pt idx="80">
                  <c:v>8.7073124009543219E-3</c:v>
                </c:pt>
                <c:pt idx="81">
                  <c:v>8.7073124009543219E-3</c:v>
                </c:pt>
                <c:pt idx="82">
                  <c:v>5.2243874405725928E-3</c:v>
                </c:pt>
                <c:pt idx="83">
                  <c:v>8.7073124009543219E-3</c:v>
                </c:pt>
                <c:pt idx="84">
                  <c:v>8.7073124009543219E-3</c:v>
                </c:pt>
                <c:pt idx="85">
                  <c:v>5.2243874405725928E-3</c:v>
                </c:pt>
                <c:pt idx="86">
                  <c:v>0</c:v>
                </c:pt>
                <c:pt idx="87">
                  <c:v>6.9658499207634573E-3</c:v>
                </c:pt>
                <c:pt idx="88">
                  <c:v>0</c:v>
                </c:pt>
                <c:pt idx="89">
                  <c:v>0</c:v>
                </c:pt>
                <c:pt idx="90">
                  <c:v>0</c:v>
                </c:pt>
                <c:pt idx="91">
                  <c:v>0</c:v>
                </c:pt>
                <c:pt idx="92">
                  <c:v>0</c:v>
                </c:pt>
                <c:pt idx="93">
                  <c:v>0</c:v>
                </c:pt>
                <c:pt idx="94">
                  <c:v>3.4829249603817287E-3</c:v>
                </c:pt>
                <c:pt idx="95">
                  <c:v>0</c:v>
                </c:pt>
                <c:pt idx="96">
                  <c:v>0</c:v>
                </c:pt>
                <c:pt idx="97">
                  <c:v>0</c:v>
                </c:pt>
                <c:pt idx="98">
                  <c:v>0</c:v>
                </c:pt>
                <c:pt idx="99">
                  <c:v>0</c:v>
                </c:pt>
              </c:numCache>
            </c:numRef>
          </c:val>
          <c:smooth val="0"/>
          <c:extLst xmlns:c16r2="http://schemas.microsoft.com/office/drawing/2015/06/chart">
            <c:ext xmlns:c16="http://schemas.microsoft.com/office/drawing/2014/chart" uri="{C3380CC4-5D6E-409C-BE32-E72D297353CC}">
              <c16:uniqueId val="{00000001-898D-4FBB-B7F6-2BEDE6FDDF45}"/>
            </c:ext>
          </c:extLst>
        </c:ser>
        <c:dLbls>
          <c:showLegendKey val="0"/>
          <c:showVal val="0"/>
          <c:showCatName val="0"/>
          <c:showSerName val="0"/>
          <c:showPercent val="0"/>
          <c:showBubbleSize val="0"/>
        </c:dLbls>
        <c:marker val="1"/>
        <c:smooth val="0"/>
        <c:axId val="166261504"/>
        <c:axId val="166263040"/>
      </c:lineChart>
      <c:catAx>
        <c:axId val="166261504"/>
        <c:scaling>
          <c:orientation val="minMax"/>
        </c:scaling>
        <c:delete val="0"/>
        <c:axPos val="b"/>
        <c:majorGridlines>
          <c:spPr>
            <a:ln>
              <a:solidFill>
                <a:schemeClr val="bg1"/>
              </a:solidFill>
            </a:ln>
          </c:spPr>
        </c:majorGridlines>
        <c:numFmt formatCode="General" sourceLinked="1"/>
        <c:majorTickMark val="none"/>
        <c:minorTickMark val="none"/>
        <c:tickLblPos val="nextTo"/>
        <c:spPr>
          <a:noFill/>
          <a:ln w="9525" cap="flat" cmpd="sng" algn="ctr">
            <a:solidFill>
              <a:schemeClr val="bg1"/>
            </a:solidFill>
            <a:round/>
          </a:ln>
          <a:effectLst/>
        </c:spPr>
        <c:txPr>
          <a:bodyPr rot="-60000000" vert="horz"/>
          <a:lstStyle/>
          <a:p>
            <a:pPr>
              <a:defRPr/>
            </a:pPr>
            <a:endParaRPr lang="it-IT"/>
          </a:p>
        </c:txPr>
        <c:crossAx val="166263040"/>
        <c:crosses val="autoZero"/>
        <c:auto val="1"/>
        <c:lblAlgn val="ctr"/>
        <c:lblOffset val="100"/>
        <c:tickLblSkip val="10"/>
        <c:tickMarkSkip val="10"/>
        <c:noMultiLvlLbl val="0"/>
      </c:catAx>
      <c:valAx>
        <c:axId val="166263040"/>
        <c:scaling>
          <c:orientation val="minMax"/>
          <c:max val="6"/>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solidFill>
              <a:schemeClr val="bg1"/>
            </a:solidFill>
          </a:ln>
          <a:effectLst/>
        </c:spPr>
        <c:txPr>
          <a:bodyPr rot="-60000000" vert="horz"/>
          <a:lstStyle/>
          <a:p>
            <a:pPr>
              <a:defRPr/>
            </a:pPr>
            <a:endParaRPr lang="it-IT"/>
          </a:p>
        </c:txPr>
        <c:crossAx val="166261504"/>
        <c:crosses val="autoZero"/>
        <c:crossBetween val="between"/>
      </c:valAx>
      <c:spPr>
        <a:noFill/>
        <a:ln>
          <a:noFill/>
        </a:ln>
        <a:effectLst/>
      </c:spPr>
    </c:plotArea>
    <c:legend>
      <c:legendPos val="t"/>
      <c:layout>
        <c:manualLayout>
          <c:xMode val="edge"/>
          <c:yMode val="edge"/>
          <c:x val="0.28747911529197928"/>
          <c:y val="0"/>
          <c:w val="0.40864705174243898"/>
          <c:h val="0.13950216199431811"/>
        </c:manualLayout>
      </c:layout>
      <c:overlay val="0"/>
      <c:spPr>
        <a:noFill/>
        <a:ln>
          <a:noFill/>
        </a:ln>
        <a:effectLst/>
      </c:spPr>
      <c:txPr>
        <a:bodyPr rot="0" vert="horz"/>
        <a:lstStyle/>
        <a:p>
          <a:pPr>
            <a:defRPr/>
          </a:pPr>
          <a:endParaRPr lang="it-IT"/>
        </a:p>
      </c:txPr>
    </c:legend>
    <c:plotVisOnly val="1"/>
    <c:dispBlanksAs val="gap"/>
    <c:showDLblsOverMax val="0"/>
  </c:chart>
  <c:spPr>
    <a:solidFill>
      <a:schemeClr val="bg1">
        <a:alpha val="0"/>
      </a:schemeClr>
    </a:solidFill>
    <a:ln w="9525" cap="flat" cmpd="sng" algn="ctr">
      <a:noFill/>
      <a:round/>
    </a:ln>
    <a:effectLst/>
  </c:spPr>
  <c:txPr>
    <a:bodyPr/>
    <a:lstStyle/>
    <a:p>
      <a:pPr>
        <a:defRPr sz="700">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426132596294997E-2"/>
          <c:y val="0.15127379236512445"/>
          <c:w val="0.88253323123315497"/>
          <c:h val="0.69503206879817425"/>
        </c:manualLayout>
      </c:layout>
      <c:lineChart>
        <c:grouping val="standard"/>
        <c:varyColors val="0"/>
        <c:ser>
          <c:idx val="0"/>
          <c:order val="0"/>
          <c:tx>
            <c:strRef>
              <c:f>'[tavole e grafici_migrazioni.xlsx]FIGURA 5.'!$N$23</c:f>
              <c:strCache>
                <c:ptCount val="1"/>
                <c:pt idx="0">
                  <c:v>america e oceania_m</c:v>
                </c:pt>
              </c:strCache>
            </c:strRef>
          </c:tx>
          <c:spPr>
            <a:ln w="28575" cap="rnd">
              <a:solidFill>
                <a:srgbClr val="E42618"/>
              </a:solidFill>
              <a:round/>
            </a:ln>
            <a:effectLst/>
          </c:spPr>
          <c:marker>
            <c:symbol val="none"/>
          </c:marker>
          <c:cat>
            <c:strRef>
              <c:f>'[tavole e grafici_migrazioni.xlsx]FIGURA 5.'!$M$24:$M$123</c:f>
              <c:strCach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99</c:v>
                </c:pt>
                <c:pt idx="99">
                  <c:v>100+</c:v>
                </c:pt>
              </c:strCache>
            </c:strRef>
          </c:cat>
          <c:val>
            <c:numRef>
              <c:f>'[tavole e grafici_migrazioni.xlsx]FIGURA 5.'!$N$24:$N$123</c:f>
              <c:numCache>
                <c:formatCode>#,#00</c:formatCode>
                <c:ptCount val="100"/>
                <c:pt idx="0">
                  <c:v>0.16604965156794424</c:v>
                </c:pt>
                <c:pt idx="1">
                  <c:v>0.24499128919860624</c:v>
                </c:pt>
                <c:pt idx="2">
                  <c:v>0.30760017421602787</c:v>
                </c:pt>
                <c:pt idx="3">
                  <c:v>0.27765679442508712</c:v>
                </c:pt>
                <c:pt idx="4">
                  <c:v>0.33209930313588848</c:v>
                </c:pt>
                <c:pt idx="5">
                  <c:v>0.33209930313588848</c:v>
                </c:pt>
                <c:pt idx="6">
                  <c:v>0.38926393728222997</c:v>
                </c:pt>
                <c:pt idx="7">
                  <c:v>0.35932055749128922</c:v>
                </c:pt>
                <c:pt idx="8">
                  <c:v>0.41648519163763065</c:v>
                </c:pt>
                <c:pt idx="9">
                  <c:v>0.4464285714285714</c:v>
                </c:pt>
                <c:pt idx="10">
                  <c:v>0.38926393728222997</c:v>
                </c:pt>
                <c:pt idx="11">
                  <c:v>0.32665505226480834</c:v>
                </c:pt>
                <c:pt idx="12">
                  <c:v>0.35115418118466901</c:v>
                </c:pt>
                <c:pt idx="13">
                  <c:v>0.36204268292682928</c:v>
                </c:pt>
                <c:pt idx="14">
                  <c:v>0.38926393728222997</c:v>
                </c:pt>
                <c:pt idx="15">
                  <c:v>0.40015243902439024</c:v>
                </c:pt>
                <c:pt idx="16">
                  <c:v>0.42192944250871078</c:v>
                </c:pt>
                <c:pt idx="17">
                  <c:v>0.56892421602787457</c:v>
                </c:pt>
                <c:pt idx="18">
                  <c:v>0.93368902439024382</c:v>
                </c:pt>
                <c:pt idx="19">
                  <c:v>0.75675087108013939</c:v>
                </c:pt>
                <c:pt idx="20">
                  <c:v>0.75675087108013939</c:v>
                </c:pt>
                <c:pt idx="21">
                  <c:v>0.89830139372822304</c:v>
                </c:pt>
                <c:pt idx="22">
                  <c:v>0.9445775261324042</c:v>
                </c:pt>
                <c:pt idx="23">
                  <c:v>1.132404181184669</c:v>
                </c:pt>
                <c:pt idx="24">
                  <c:v>1.2984538327526132</c:v>
                </c:pt>
                <c:pt idx="25">
                  <c:v>1.4291158536585367</c:v>
                </c:pt>
                <c:pt idx="26">
                  <c:v>1.5597778745644599</c:v>
                </c:pt>
                <c:pt idx="27">
                  <c:v>1.7448824041811848</c:v>
                </c:pt>
                <c:pt idx="28">
                  <c:v>1.6087761324041814</c:v>
                </c:pt>
                <c:pt idx="29">
                  <c:v>1.8238240418118465</c:v>
                </c:pt>
                <c:pt idx="30">
                  <c:v>1.6768292682926831</c:v>
                </c:pt>
                <c:pt idx="31">
                  <c:v>1.5679442508710801</c:v>
                </c:pt>
                <c:pt idx="32">
                  <c:v>1.4944468641114983</c:v>
                </c:pt>
                <c:pt idx="33">
                  <c:v>1.2848432055749128</c:v>
                </c:pt>
                <c:pt idx="34">
                  <c:v>1.2793989547038329</c:v>
                </c:pt>
                <c:pt idx="35">
                  <c:v>1.3202308362369339</c:v>
                </c:pt>
                <c:pt idx="36">
                  <c:v>1.2358449477351918</c:v>
                </c:pt>
                <c:pt idx="37">
                  <c:v>1.0452961672473868</c:v>
                </c:pt>
                <c:pt idx="38">
                  <c:v>1.012630662020906</c:v>
                </c:pt>
                <c:pt idx="39">
                  <c:v>0.98268728222996526</c:v>
                </c:pt>
                <c:pt idx="40">
                  <c:v>0.85474738675958184</c:v>
                </c:pt>
                <c:pt idx="41">
                  <c:v>0.72952961672473871</c:v>
                </c:pt>
                <c:pt idx="42">
                  <c:v>0.67508710801393734</c:v>
                </c:pt>
                <c:pt idx="43">
                  <c:v>0.6778092334494773</c:v>
                </c:pt>
                <c:pt idx="44">
                  <c:v>0.59614547038327526</c:v>
                </c:pt>
                <c:pt idx="45">
                  <c:v>0.48181620209059239</c:v>
                </c:pt>
                <c:pt idx="46">
                  <c:v>0.50631533101045301</c:v>
                </c:pt>
                <c:pt idx="47">
                  <c:v>0.50903745644599296</c:v>
                </c:pt>
                <c:pt idx="48">
                  <c:v>0.4083188153310105</c:v>
                </c:pt>
                <c:pt idx="49">
                  <c:v>0.41648519163763065</c:v>
                </c:pt>
                <c:pt idx="50">
                  <c:v>0.35659843205574915</c:v>
                </c:pt>
                <c:pt idx="51">
                  <c:v>0.43281794425087106</c:v>
                </c:pt>
                <c:pt idx="52">
                  <c:v>0.42737369337979092</c:v>
                </c:pt>
                <c:pt idx="53">
                  <c:v>0.38926393728222997</c:v>
                </c:pt>
                <c:pt idx="54">
                  <c:v>0.33482142857142855</c:v>
                </c:pt>
                <c:pt idx="55">
                  <c:v>0.35659843205574915</c:v>
                </c:pt>
                <c:pt idx="56">
                  <c:v>0.33482142857142855</c:v>
                </c:pt>
                <c:pt idx="57">
                  <c:v>0.25860191637630664</c:v>
                </c:pt>
                <c:pt idx="58">
                  <c:v>0.3048780487804878</c:v>
                </c:pt>
                <c:pt idx="59">
                  <c:v>0.29671167247386759</c:v>
                </c:pt>
                <c:pt idx="60">
                  <c:v>0.25043554006968638</c:v>
                </c:pt>
                <c:pt idx="61">
                  <c:v>0.26404616724738678</c:v>
                </c:pt>
                <c:pt idx="62">
                  <c:v>0.20688153310104529</c:v>
                </c:pt>
                <c:pt idx="63">
                  <c:v>0.24771341463414634</c:v>
                </c:pt>
                <c:pt idx="64">
                  <c:v>0.21232578397212543</c:v>
                </c:pt>
                <c:pt idx="65">
                  <c:v>0.18782665505226481</c:v>
                </c:pt>
                <c:pt idx="66">
                  <c:v>0.17966027874564461</c:v>
                </c:pt>
                <c:pt idx="67">
                  <c:v>0.17966027874564461</c:v>
                </c:pt>
                <c:pt idx="68">
                  <c:v>0.17693815331010454</c:v>
                </c:pt>
                <c:pt idx="69">
                  <c:v>0.14699477351916376</c:v>
                </c:pt>
                <c:pt idx="70">
                  <c:v>0.12793989547038326</c:v>
                </c:pt>
                <c:pt idx="71">
                  <c:v>0.12521777003484319</c:v>
                </c:pt>
                <c:pt idx="72">
                  <c:v>0.10071864111498258</c:v>
                </c:pt>
                <c:pt idx="73">
                  <c:v>7.0775261324041813E-2</c:v>
                </c:pt>
                <c:pt idx="74">
                  <c:v>8.4385888501742168E-2</c:v>
                </c:pt>
                <c:pt idx="75">
                  <c:v>5.4442508710801391E-2</c:v>
                </c:pt>
                <c:pt idx="76">
                  <c:v>6.5331010452961677E-2</c:v>
                </c:pt>
                <c:pt idx="77">
                  <c:v>4.8998257839721254E-2</c:v>
                </c:pt>
                <c:pt idx="78">
                  <c:v>4.6276132404181186E-2</c:v>
                </c:pt>
                <c:pt idx="79">
                  <c:v>3.2665505226480838E-2</c:v>
                </c:pt>
                <c:pt idx="80">
                  <c:v>3.5387630662020907E-2</c:v>
                </c:pt>
                <c:pt idx="81">
                  <c:v>2.9943379790940763E-2</c:v>
                </c:pt>
                <c:pt idx="82">
                  <c:v>3.8109756097560975E-2</c:v>
                </c:pt>
                <c:pt idx="83">
                  <c:v>2.7221254355400695E-2</c:v>
                </c:pt>
                <c:pt idx="84">
                  <c:v>1.6332752613240419E-2</c:v>
                </c:pt>
                <c:pt idx="85">
                  <c:v>1.9054878048780487E-2</c:v>
                </c:pt>
                <c:pt idx="86">
                  <c:v>1.6332752613240419E-2</c:v>
                </c:pt>
                <c:pt idx="87">
                  <c:v>1.3610627177700348E-2</c:v>
                </c:pt>
                <c:pt idx="88">
                  <c:v>5.4442508710801397E-3</c:v>
                </c:pt>
                <c:pt idx="89">
                  <c:v>2.7221254355400699E-3</c:v>
                </c:pt>
                <c:pt idx="90">
                  <c:v>5.4442508710801397E-3</c:v>
                </c:pt>
                <c:pt idx="91">
                  <c:v>2.7221254355400699E-3</c:v>
                </c:pt>
                <c:pt idx="92">
                  <c:v>2.7221254355400699E-3</c:v>
                </c:pt>
                <c:pt idx="93">
                  <c:v>0</c:v>
                </c:pt>
                <c:pt idx="94">
                  <c:v>0</c:v>
                </c:pt>
                <c:pt idx="95">
                  <c:v>2.7221254355400699E-3</c:v>
                </c:pt>
                <c:pt idx="96">
                  <c:v>0</c:v>
                </c:pt>
                <c:pt idx="97">
                  <c:v>0</c:v>
                </c:pt>
                <c:pt idx="98">
                  <c:v>0</c:v>
                </c:pt>
                <c:pt idx="99">
                  <c:v>0</c:v>
                </c:pt>
              </c:numCache>
            </c:numRef>
          </c:val>
          <c:smooth val="0"/>
          <c:extLst xmlns:c16r2="http://schemas.microsoft.com/office/drawing/2015/06/chart">
            <c:ext xmlns:c16="http://schemas.microsoft.com/office/drawing/2014/chart" uri="{C3380CC4-5D6E-409C-BE32-E72D297353CC}">
              <c16:uniqueId val="{00000000-B5C6-49C4-BA58-66A39C25FB04}"/>
            </c:ext>
          </c:extLst>
        </c:ser>
        <c:ser>
          <c:idx val="1"/>
          <c:order val="1"/>
          <c:tx>
            <c:strRef>
              <c:f>'[tavole e grafici_migrazioni.xlsx]FIGURA 5.'!$O$23</c:f>
              <c:strCache>
                <c:ptCount val="1"/>
                <c:pt idx="0">
                  <c:v>america e oceania_f</c:v>
                </c:pt>
              </c:strCache>
            </c:strRef>
          </c:tx>
          <c:spPr>
            <a:ln w="28575" cap="rnd">
              <a:solidFill>
                <a:srgbClr val="1F497D"/>
              </a:solidFill>
              <a:round/>
            </a:ln>
            <a:effectLst/>
          </c:spPr>
          <c:marker>
            <c:symbol val="none"/>
          </c:marker>
          <c:cat>
            <c:strRef>
              <c:f>'[tavole e grafici_migrazioni.xlsx]FIGURA 5.'!$M$24:$M$123</c:f>
              <c:strCach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99</c:v>
                </c:pt>
                <c:pt idx="99">
                  <c:v>100+</c:v>
                </c:pt>
              </c:strCache>
            </c:strRef>
          </c:cat>
          <c:val>
            <c:numRef>
              <c:f>'[tavole e grafici_migrazioni.xlsx]FIGURA 5.'!$O$24:$O$123</c:f>
              <c:numCache>
                <c:formatCode>#,#00</c:formatCode>
                <c:ptCount val="100"/>
                <c:pt idx="0">
                  <c:v>0.1606054006968641</c:v>
                </c:pt>
                <c:pt idx="1">
                  <c:v>0.28037891986062718</c:v>
                </c:pt>
                <c:pt idx="2">
                  <c:v>0.34026567944250868</c:v>
                </c:pt>
                <c:pt idx="3">
                  <c:v>0.3048780487804878</c:v>
                </c:pt>
                <c:pt idx="4">
                  <c:v>0.34570993031358882</c:v>
                </c:pt>
                <c:pt idx="5">
                  <c:v>0.31576655052264807</c:v>
                </c:pt>
                <c:pt idx="6">
                  <c:v>0.31032229965156793</c:v>
                </c:pt>
                <c:pt idx="7">
                  <c:v>0.33209930313588848</c:v>
                </c:pt>
                <c:pt idx="8">
                  <c:v>0.28037891986062718</c:v>
                </c:pt>
                <c:pt idx="9">
                  <c:v>0.37565331010452963</c:v>
                </c:pt>
                <c:pt idx="10">
                  <c:v>0.32393292682926828</c:v>
                </c:pt>
                <c:pt idx="11">
                  <c:v>0.37020905923344949</c:v>
                </c:pt>
                <c:pt idx="12">
                  <c:v>0.34570993031358882</c:v>
                </c:pt>
                <c:pt idx="13">
                  <c:v>0.37293118466898956</c:v>
                </c:pt>
                <c:pt idx="14">
                  <c:v>0.34026567944250868</c:v>
                </c:pt>
                <c:pt idx="15">
                  <c:v>0.37565331010452963</c:v>
                </c:pt>
                <c:pt idx="16">
                  <c:v>0.44370644599303133</c:v>
                </c:pt>
                <c:pt idx="17">
                  <c:v>0.47364982578397213</c:v>
                </c:pt>
                <c:pt idx="18">
                  <c:v>0.83841463414634154</c:v>
                </c:pt>
                <c:pt idx="19">
                  <c:v>0.69141986062717764</c:v>
                </c:pt>
                <c:pt idx="20">
                  <c:v>0.72680749128919864</c:v>
                </c:pt>
                <c:pt idx="21">
                  <c:v>0.90646777003484325</c:v>
                </c:pt>
                <c:pt idx="22">
                  <c:v>0.97724303135888502</c:v>
                </c:pt>
                <c:pt idx="23">
                  <c:v>1.1623475609756098</c:v>
                </c:pt>
                <c:pt idx="24">
                  <c:v>1.4481707317073171</c:v>
                </c:pt>
                <c:pt idx="25">
                  <c:v>1.6060540069686411</c:v>
                </c:pt>
                <c:pt idx="26">
                  <c:v>1.8265461672473868</c:v>
                </c:pt>
                <c:pt idx="27">
                  <c:v>2.0225391986062715</c:v>
                </c:pt>
                <c:pt idx="28">
                  <c:v>1.8809886759581882</c:v>
                </c:pt>
                <c:pt idx="29">
                  <c:v>1.95448606271777</c:v>
                </c:pt>
                <c:pt idx="30">
                  <c:v>1.9490418118466899</c:v>
                </c:pt>
                <c:pt idx="31">
                  <c:v>1.7476045296167246</c:v>
                </c:pt>
                <c:pt idx="32">
                  <c:v>1.7639372822299653</c:v>
                </c:pt>
                <c:pt idx="33">
                  <c:v>1.5488893728222997</c:v>
                </c:pt>
                <c:pt idx="34">
                  <c:v>1.480836236933798</c:v>
                </c:pt>
                <c:pt idx="35">
                  <c:v>1.4998911149825784</c:v>
                </c:pt>
                <c:pt idx="36">
                  <c:v>1.3392857142857142</c:v>
                </c:pt>
                <c:pt idx="37">
                  <c:v>1.2385670731707317</c:v>
                </c:pt>
                <c:pt idx="38">
                  <c:v>1.2385670731707317</c:v>
                </c:pt>
                <c:pt idx="39">
                  <c:v>1.0480182926829269</c:v>
                </c:pt>
                <c:pt idx="40">
                  <c:v>0.92824477351916379</c:v>
                </c:pt>
                <c:pt idx="41">
                  <c:v>0.87108013937282225</c:v>
                </c:pt>
                <c:pt idx="42">
                  <c:v>0.81935975609756095</c:v>
                </c:pt>
                <c:pt idx="43">
                  <c:v>0.80302700348432055</c:v>
                </c:pt>
                <c:pt idx="44">
                  <c:v>0.78397212543554007</c:v>
                </c:pt>
                <c:pt idx="45">
                  <c:v>0.65875435540069682</c:v>
                </c:pt>
                <c:pt idx="46">
                  <c:v>0.64514372822299648</c:v>
                </c:pt>
                <c:pt idx="47">
                  <c:v>0.64786585365853655</c:v>
                </c:pt>
                <c:pt idx="48">
                  <c:v>0.52809233449477355</c:v>
                </c:pt>
                <c:pt idx="49">
                  <c:v>0.5580357142857143</c:v>
                </c:pt>
                <c:pt idx="50">
                  <c:v>0.46548344947735193</c:v>
                </c:pt>
                <c:pt idx="51">
                  <c:v>0.57436846689895471</c:v>
                </c:pt>
                <c:pt idx="52">
                  <c:v>0.47092770034843207</c:v>
                </c:pt>
                <c:pt idx="53">
                  <c:v>0.48726045296167247</c:v>
                </c:pt>
                <c:pt idx="54">
                  <c:v>0.45731707317073167</c:v>
                </c:pt>
                <c:pt idx="55">
                  <c:v>0.51992595818815324</c:v>
                </c:pt>
                <c:pt idx="56">
                  <c:v>0.47092770034843207</c:v>
                </c:pt>
                <c:pt idx="57">
                  <c:v>0.45187282229965159</c:v>
                </c:pt>
                <c:pt idx="58">
                  <c:v>0.43554006968641112</c:v>
                </c:pt>
                <c:pt idx="59">
                  <c:v>0.40015243902439024</c:v>
                </c:pt>
                <c:pt idx="60">
                  <c:v>0.38926393728222997</c:v>
                </c:pt>
                <c:pt idx="61">
                  <c:v>0.32937717770034841</c:v>
                </c:pt>
                <c:pt idx="62">
                  <c:v>0.32665505226480834</c:v>
                </c:pt>
                <c:pt idx="63">
                  <c:v>0.38381968641114983</c:v>
                </c:pt>
                <c:pt idx="64">
                  <c:v>0.34298780487804881</c:v>
                </c:pt>
                <c:pt idx="65">
                  <c:v>0.31032229965156793</c:v>
                </c:pt>
                <c:pt idx="66">
                  <c:v>0.29671167247386759</c:v>
                </c:pt>
                <c:pt idx="67">
                  <c:v>0.25587979094076652</c:v>
                </c:pt>
                <c:pt idx="68">
                  <c:v>0.22049216027874566</c:v>
                </c:pt>
                <c:pt idx="69">
                  <c:v>0.18782665505226481</c:v>
                </c:pt>
                <c:pt idx="70">
                  <c:v>0.16332752613240417</c:v>
                </c:pt>
                <c:pt idx="71">
                  <c:v>0.14971689895470383</c:v>
                </c:pt>
                <c:pt idx="72">
                  <c:v>0.14971689895470383</c:v>
                </c:pt>
                <c:pt idx="73">
                  <c:v>9.2552264808362372E-2</c:v>
                </c:pt>
                <c:pt idx="74">
                  <c:v>0.12793989547038326</c:v>
                </c:pt>
                <c:pt idx="75">
                  <c:v>8.7108013937282236E-2</c:v>
                </c:pt>
                <c:pt idx="76">
                  <c:v>7.0775261324041813E-2</c:v>
                </c:pt>
                <c:pt idx="77">
                  <c:v>7.0775261324041813E-2</c:v>
                </c:pt>
                <c:pt idx="78">
                  <c:v>7.3497386759581881E-2</c:v>
                </c:pt>
                <c:pt idx="79">
                  <c:v>5.9886759581881527E-2</c:v>
                </c:pt>
                <c:pt idx="80">
                  <c:v>6.2608885017421595E-2</c:v>
                </c:pt>
                <c:pt idx="81">
                  <c:v>3.8109756097560975E-2</c:v>
                </c:pt>
                <c:pt idx="82">
                  <c:v>3.2665505226480838E-2</c:v>
                </c:pt>
                <c:pt idx="83">
                  <c:v>3.5387630662020907E-2</c:v>
                </c:pt>
                <c:pt idx="84">
                  <c:v>2.4499128919860627E-2</c:v>
                </c:pt>
                <c:pt idx="85">
                  <c:v>2.1777003484320559E-2</c:v>
                </c:pt>
                <c:pt idx="86">
                  <c:v>1.6332752613240419E-2</c:v>
                </c:pt>
                <c:pt idx="87">
                  <c:v>1.9054878048780487E-2</c:v>
                </c:pt>
                <c:pt idx="88">
                  <c:v>1.6332752613240419E-2</c:v>
                </c:pt>
                <c:pt idx="89">
                  <c:v>5.4442508710801397E-3</c:v>
                </c:pt>
                <c:pt idx="90">
                  <c:v>1.0888501742160279E-2</c:v>
                </c:pt>
                <c:pt idx="91">
                  <c:v>1.3610627177700348E-2</c:v>
                </c:pt>
                <c:pt idx="92">
                  <c:v>0</c:v>
                </c:pt>
                <c:pt idx="93">
                  <c:v>0</c:v>
                </c:pt>
                <c:pt idx="94">
                  <c:v>2.7221254355400699E-3</c:v>
                </c:pt>
                <c:pt idx="95">
                  <c:v>0</c:v>
                </c:pt>
                <c:pt idx="96">
                  <c:v>2.7221254355400699E-3</c:v>
                </c:pt>
                <c:pt idx="97">
                  <c:v>0</c:v>
                </c:pt>
                <c:pt idx="98">
                  <c:v>0</c:v>
                </c:pt>
                <c:pt idx="99">
                  <c:v>0</c:v>
                </c:pt>
              </c:numCache>
            </c:numRef>
          </c:val>
          <c:smooth val="0"/>
          <c:extLst xmlns:c16r2="http://schemas.microsoft.com/office/drawing/2015/06/chart">
            <c:ext xmlns:c16="http://schemas.microsoft.com/office/drawing/2014/chart" uri="{C3380CC4-5D6E-409C-BE32-E72D297353CC}">
              <c16:uniqueId val="{00000001-B5C6-49C4-BA58-66A39C25FB04}"/>
            </c:ext>
          </c:extLst>
        </c:ser>
        <c:dLbls>
          <c:showLegendKey val="0"/>
          <c:showVal val="0"/>
          <c:showCatName val="0"/>
          <c:showSerName val="0"/>
          <c:showPercent val="0"/>
          <c:showBubbleSize val="0"/>
        </c:dLbls>
        <c:marker val="1"/>
        <c:smooth val="0"/>
        <c:axId val="166354304"/>
        <c:axId val="166368384"/>
      </c:lineChart>
      <c:catAx>
        <c:axId val="166354304"/>
        <c:scaling>
          <c:orientation val="minMax"/>
        </c:scaling>
        <c:delete val="0"/>
        <c:axPos val="b"/>
        <c:majorGridlines>
          <c:spPr>
            <a:ln>
              <a:solidFill>
                <a:schemeClr val="bg1"/>
              </a:solidFill>
            </a:ln>
          </c:spPr>
        </c:majorGridlines>
        <c:numFmt formatCode="General" sourceLinked="1"/>
        <c:majorTickMark val="none"/>
        <c:minorTickMark val="none"/>
        <c:tickLblPos val="nextTo"/>
        <c:spPr>
          <a:noFill/>
          <a:ln w="9525" cap="flat" cmpd="sng" algn="ctr">
            <a:solidFill>
              <a:schemeClr val="bg1"/>
            </a:solidFill>
            <a:round/>
          </a:ln>
          <a:effectLst/>
        </c:spPr>
        <c:txPr>
          <a:bodyPr rot="-60000000" vert="horz"/>
          <a:lstStyle/>
          <a:p>
            <a:pPr>
              <a:defRPr/>
            </a:pPr>
            <a:endParaRPr lang="it-IT"/>
          </a:p>
        </c:txPr>
        <c:crossAx val="166368384"/>
        <c:crosses val="autoZero"/>
        <c:auto val="1"/>
        <c:lblAlgn val="ctr"/>
        <c:lblOffset val="100"/>
        <c:tickLblSkip val="10"/>
        <c:tickMarkSkip val="10"/>
        <c:noMultiLvlLbl val="0"/>
      </c:catAx>
      <c:valAx>
        <c:axId val="166368384"/>
        <c:scaling>
          <c:orientation val="minMax"/>
          <c:max val="6"/>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it-IT"/>
          </a:p>
        </c:txPr>
        <c:crossAx val="166354304"/>
        <c:crosses val="autoZero"/>
        <c:crossBetween val="between"/>
      </c:valAx>
      <c:spPr>
        <a:noFill/>
        <a:ln>
          <a:noFill/>
        </a:ln>
        <a:effectLst/>
      </c:spPr>
    </c:plotArea>
    <c:legend>
      <c:legendPos val="t"/>
      <c:layout>
        <c:manualLayout>
          <c:xMode val="edge"/>
          <c:yMode val="edge"/>
          <c:x val="0.10582516606790859"/>
          <c:y val="0"/>
          <c:w val="0.75574265363327509"/>
          <c:h val="0.15375108274487079"/>
        </c:manualLayout>
      </c:layout>
      <c:overlay val="0"/>
      <c:spPr>
        <a:noFill/>
        <a:ln>
          <a:noFill/>
        </a:ln>
        <a:effectLst/>
      </c:spPr>
      <c:txPr>
        <a:bodyPr rot="0" vert="horz"/>
        <a:lstStyle/>
        <a:p>
          <a:pPr>
            <a:defRPr/>
          </a:pPr>
          <a:endParaRPr lang="it-IT"/>
        </a:p>
      </c:txPr>
    </c:legend>
    <c:plotVisOnly val="1"/>
    <c:dispBlanksAs val="gap"/>
    <c:showDLblsOverMax val="0"/>
  </c:chart>
  <c:spPr>
    <a:solidFill>
      <a:schemeClr val="bg1">
        <a:alpha val="0"/>
      </a:schemeClr>
    </a:solidFill>
    <a:ln w="9525" cap="flat" cmpd="sng" algn="ctr">
      <a:noFill/>
      <a:round/>
    </a:ln>
    <a:effectLst/>
  </c:spPr>
  <c:txPr>
    <a:bodyPr/>
    <a:lstStyle/>
    <a:p>
      <a:pPr>
        <a:defRPr sz="700">
          <a:latin typeface="Arial Narrow" panose="020B0606020202030204"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492138559280368E-2"/>
          <c:y val="0.12200610503624351"/>
          <c:w val="0.91343356730423808"/>
          <c:h val="0.58544770701598448"/>
        </c:manualLayout>
      </c:layout>
      <c:barChart>
        <c:barDir val="col"/>
        <c:grouping val="clustered"/>
        <c:varyColors val="0"/>
        <c:ser>
          <c:idx val="0"/>
          <c:order val="0"/>
          <c:tx>
            <c:strRef>
              <c:f>regioni!$J$103</c:f>
              <c:strCache>
                <c:ptCount val="1"/>
                <c:pt idx="0">
                  <c:v>iscrizioni per mille</c:v>
                </c:pt>
              </c:strCache>
            </c:strRef>
          </c:tx>
          <c:spPr>
            <a:solidFill>
              <a:srgbClr val="1F497D"/>
            </a:solidFill>
          </c:spPr>
          <c:invertIfNegative val="0"/>
          <c:cat>
            <c:strRef>
              <c:f>regioni!$E$104:$E$124</c:f>
              <c:strCache>
                <c:ptCount val="21"/>
                <c:pt idx="0">
                  <c:v>Valle d'Aosta</c:v>
                </c:pt>
                <c:pt idx="1">
                  <c:v>Lombardia</c:v>
                </c:pt>
                <c:pt idx="2">
                  <c:v>Trento</c:v>
                </c:pt>
                <c:pt idx="3">
                  <c:v>Piemonte</c:v>
                </c:pt>
                <c:pt idx="4">
                  <c:v>Veneto</c:v>
                </c:pt>
                <c:pt idx="5">
                  <c:v>Emilia-Romagna</c:v>
                </c:pt>
                <c:pt idx="6">
                  <c:v>Friuli-V.Giulia</c:v>
                </c:pt>
                <c:pt idx="7">
                  <c:v>Bolzano-Bozen</c:v>
                </c:pt>
                <c:pt idx="8">
                  <c:v>Liguria</c:v>
                </c:pt>
                <c:pt idx="9">
                  <c:v>Toscana</c:v>
                </c:pt>
                <c:pt idx="10">
                  <c:v>Marche</c:v>
                </c:pt>
                <c:pt idx="11">
                  <c:v>Abruzzo</c:v>
                </c:pt>
                <c:pt idx="12">
                  <c:v>Campania</c:v>
                </c:pt>
                <c:pt idx="13">
                  <c:v>Umbria</c:v>
                </c:pt>
                <c:pt idx="14">
                  <c:v>Lazio</c:v>
                </c:pt>
                <c:pt idx="15">
                  <c:v>Sardegna</c:v>
                </c:pt>
                <c:pt idx="16">
                  <c:v>Molise</c:v>
                </c:pt>
                <c:pt idx="17">
                  <c:v>Sicilia</c:v>
                </c:pt>
                <c:pt idx="18">
                  <c:v>Calabria</c:v>
                </c:pt>
                <c:pt idx="19">
                  <c:v>Puglia</c:v>
                </c:pt>
                <c:pt idx="20">
                  <c:v>Basilicata</c:v>
                </c:pt>
              </c:strCache>
            </c:strRef>
          </c:cat>
          <c:val>
            <c:numRef>
              <c:f>regioni!$J$104:$J$124</c:f>
              <c:numCache>
                <c:formatCode>General</c:formatCode>
                <c:ptCount val="21"/>
                <c:pt idx="0">
                  <c:v>37.734051169660283</c:v>
                </c:pt>
                <c:pt idx="1">
                  <c:v>30.18137386031788</c:v>
                </c:pt>
                <c:pt idx="2">
                  <c:v>30.06116581374954</c:v>
                </c:pt>
                <c:pt idx="3">
                  <c:v>28.579281217827671</c:v>
                </c:pt>
                <c:pt idx="4">
                  <c:v>27.47315480302105</c:v>
                </c:pt>
                <c:pt idx="5">
                  <c:v>27.291641279850129</c:v>
                </c:pt>
                <c:pt idx="6">
                  <c:v>26.958905821867109</c:v>
                </c:pt>
                <c:pt idx="7">
                  <c:v>26.951785201637879</c:v>
                </c:pt>
                <c:pt idx="8">
                  <c:v>24.492698592492001</c:v>
                </c:pt>
                <c:pt idx="9">
                  <c:v>24.087510687583961</c:v>
                </c:pt>
                <c:pt idx="10">
                  <c:v>20.76856446007621</c:v>
                </c:pt>
                <c:pt idx="11">
                  <c:v>20.702183970007319</c:v>
                </c:pt>
                <c:pt idx="12">
                  <c:v>18.390939817786428</c:v>
                </c:pt>
                <c:pt idx="13">
                  <c:v>18.309187877196099</c:v>
                </c:pt>
                <c:pt idx="14">
                  <c:v>17.805199046788768</c:v>
                </c:pt>
                <c:pt idx="15">
                  <c:v>17.66853237122104</c:v>
                </c:pt>
                <c:pt idx="16">
                  <c:v>17.501750500724629</c:v>
                </c:pt>
                <c:pt idx="17">
                  <c:v>15.464631071679319</c:v>
                </c:pt>
                <c:pt idx="18">
                  <c:v>13.36640181483871</c:v>
                </c:pt>
                <c:pt idx="19">
                  <c:v>11.607847875786121</c:v>
                </c:pt>
                <c:pt idx="20">
                  <c:v>10.945268348457409</c:v>
                </c:pt>
              </c:numCache>
            </c:numRef>
          </c:val>
          <c:extLst xmlns:c16r2="http://schemas.microsoft.com/office/drawing/2015/06/chart">
            <c:ext xmlns:c16="http://schemas.microsoft.com/office/drawing/2014/chart" uri="{C3380CC4-5D6E-409C-BE32-E72D297353CC}">
              <c16:uniqueId val="{00000000-FF1E-472E-B742-697DAF95F40B}"/>
            </c:ext>
          </c:extLst>
        </c:ser>
        <c:ser>
          <c:idx val="1"/>
          <c:order val="1"/>
          <c:tx>
            <c:strRef>
              <c:f>regioni!$K$103</c:f>
              <c:strCache>
                <c:ptCount val="1"/>
                <c:pt idx="0">
                  <c:v>cancellazioni per mille</c:v>
                </c:pt>
              </c:strCache>
            </c:strRef>
          </c:tx>
          <c:spPr>
            <a:solidFill>
              <a:srgbClr val="9BBB59"/>
            </a:solidFill>
          </c:spPr>
          <c:invertIfNegative val="0"/>
          <c:cat>
            <c:strRef>
              <c:f>regioni!$E$104:$E$124</c:f>
              <c:strCache>
                <c:ptCount val="21"/>
                <c:pt idx="0">
                  <c:v>Valle d'Aosta</c:v>
                </c:pt>
                <c:pt idx="1">
                  <c:v>Lombardia</c:v>
                </c:pt>
                <c:pt idx="2">
                  <c:v>Trento</c:v>
                </c:pt>
                <c:pt idx="3">
                  <c:v>Piemonte</c:v>
                </c:pt>
                <c:pt idx="4">
                  <c:v>Veneto</c:v>
                </c:pt>
                <c:pt idx="5">
                  <c:v>Emilia-Romagna</c:v>
                </c:pt>
                <c:pt idx="6">
                  <c:v>Friuli-V.Giulia</c:v>
                </c:pt>
                <c:pt idx="7">
                  <c:v>Bolzano-Bozen</c:v>
                </c:pt>
                <c:pt idx="8">
                  <c:v>Liguria</c:v>
                </c:pt>
                <c:pt idx="9">
                  <c:v>Toscana</c:v>
                </c:pt>
                <c:pt idx="10">
                  <c:v>Marche</c:v>
                </c:pt>
                <c:pt idx="11">
                  <c:v>Abruzzo</c:v>
                </c:pt>
                <c:pt idx="12">
                  <c:v>Campania</c:v>
                </c:pt>
                <c:pt idx="13">
                  <c:v>Umbria</c:v>
                </c:pt>
                <c:pt idx="14">
                  <c:v>Lazio</c:v>
                </c:pt>
                <c:pt idx="15">
                  <c:v>Sardegna</c:v>
                </c:pt>
                <c:pt idx="16">
                  <c:v>Molise</c:v>
                </c:pt>
                <c:pt idx="17">
                  <c:v>Sicilia</c:v>
                </c:pt>
                <c:pt idx="18">
                  <c:v>Calabria</c:v>
                </c:pt>
                <c:pt idx="19">
                  <c:v>Puglia</c:v>
                </c:pt>
                <c:pt idx="20">
                  <c:v>Basilicata</c:v>
                </c:pt>
              </c:strCache>
            </c:strRef>
          </c:cat>
          <c:val>
            <c:numRef>
              <c:f>regioni!$K$104:$K$124</c:f>
              <c:numCache>
                <c:formatCode>General</c:formatCode>
                <c:ptCount val="21"/>
                <c:pt idx="0">
                  <c:v>37.337017802976163</c:v>
                </c:pt>
                <c:pt idx="1">
                  <c:v>27.864590797196289</c:v>
                </c:pt>
                <c:pt idx="2">
                  <c:v>26.588442510425551</c:v>
                </c:pt>
                <c:pt idx="3">
                  <c:v>27.724062586246191</c:v>
                </c:pt>
                <c:pt idx="4">
                  <c:v>26.100822298537668</c:v>
                </c:pt>
                <c:pt idx="5">
                  <c:v>23.924311492704419</c:v>
                </c:pt>
                <c:pt idx="6">
                  <c:v>24.33973994190961</c:v>
                </c:pt>
                <c:pt idx="7">
                  <c:v>23.380248704350059</c:v>
                </c:pt>
                <c:pt idx="8">
                  <c:v>22.81488727708021</c:v>
                </c:pt>
                <c:pt idx="9">
                  <c:v>23.145181855000288</c:v>
                </c:pt>
                <c:pt idx="10">
                  <c:v>20.521265125821721</c:v>
                </c:pt>
                <c:pt idx="11">
                  <c:v>21.376775179916379</c:v>
                </c:pt>
                <c:pt idx="12">
                  <c:v>21.797898826956271</c:v>
                </c:pt>
                <c:pt idx="13">
                  <c:v>18.315980378727239</c:v>
                </c:pt>
                <c:pt idx="14">
                  <c:v>17.74116928534804</c:v>
                </c:pt>
                <c:pt idx="15">
                  <c:v>18.44595996187077</c:v>
                </c:pt>
                <c:pt idx="16">
                  <c:v>21.20467017309603</c:v>
                </c:pt>
                <c:pt idx="17">
                  <c:v>18.859106721133589</c:v>
                </c:pt>
                <c:pt idx="18">
                  <c:v>18.016208747436501</c:v>
                </c:pt>
                <c:pt idx="19">
                  <c:v>14.33153231763014</c:v>
                </c:pt>
                <c:pt idx="20">
                  <c:v>15.23381705614052</c:v>
                </c:pt>
              </c:numCache>
            </c:numRef>
          </c:val>
          <c:extLst xmlns:c16r2="http://schemas.microsoft.com/office/drawing/2015/06/chart">
            <c:ext xmlns:c16="http://schemas.microsoft.com/office/drawing/2014/chart" uri="{C3380CC4-5D6E-409C-BE32-E72D297353CC}">
              <c16:uniqueId val="{00000001-FF1E-472E-B742-697DAF95F40B}"/>
            </c:ext>
          </c:extLst>
        </c:ser>
        <c:dLbls>
          <c:showLegendKey val="0"/>
          <c:showVal val="0"/>
          <c:showCatName val="0"/>
          <c:showSerName val="0"/>
          <c:showPercent val="0"/>
          <c:showBubbleSize val="0"/>
        </c:dLbls>
        <c:gapWidth val="80"/>
        <c:axId val="166393344"/>
        <c:axId val="166395264"/>
      </c:barChart>
      <c:lineChart>
        <c:grouping val="standard"/>
        <c:varyColors val="0"/>
        <c:ser>
          <c:idx val="2"/>
          <c:order val="2"/>
          <c:tx>
            <c:strRef>
              <c:f>regioni!$L$103</c:f>
              <c:strCache>
                <c:ptCount val="1"/>
                <c:pt idx="0">
                  <c:v>saldo per mille asse dx</c:v>
                </c:pt>
              </c:strCache>
            </c:strRef>
          </c:tx>
          <c:spPr>
            <a:ln>
              <a:noFill/>
            </a:ln>
          </c:spPr>
          <c:marker>
            <c:symbol val="triangle"/>
            <c:size val="7"/>
            <c:spPr>
              <a:solidFill>
                <a:srgbClr val="E42618"/>
              </a:solidFill>
              <a:ln>
                <a:solidFill>
                  <a:srgbClr val="E42618"/>
                </a:solidFill>
              </a:ln>
            </c:spPr>
          </c:marker>
          <c:cat>
            <c:strRef>
              <c:f>regioni!$E$104:$E$124</c:f>
              <c:strCache>
                <c:ptCount val="21"/>
                <c:pt idx="0">
                  <c:v>Valle d'Aosta</c:v>
                </c:pt>
                <c:pt idx="1">
                  <c:v>Lombardia</c:v>
                </c:pt>
                <c:pt idx="2">
                  <c:v>Trento</c:v>
                </c:pt>
                <c:pt idx="3">
                  <c:v>Piemonte</c:v>
                </c:pt>
                <c:pt idx="4">
                  <c:v>Veneto</c:v>
                </c:pt>
                <c:pt idx="5">
                  <c:v>Emilia-Romagna</c:v>
                </c:pt>
                <c:pt idx="6">
                  <c:v>Friuli-V.Giulia</c:v>
                </c:pt>
                <c:pt idx="7">
                  <c:v>Bolzano-Bozen</c:v>
                </c:pt>
                <c:pt idx="8">
                  <c:v>Liguria</c:v>
                </c:pt>
                <c:pt idx="9">
                  <c:v>Toscana</c:v>
                </c:pt>
                <c:pt idx="10">
                  <c:v>Marche</c:v>
                </c:pt>
                <c:pt idx="11">
                  <c:v>Abruzzo</c:v>
                </c:pt>
                <c:pt idx="12">
                  <c:v>Campania</c:v>
                </c:pt>
                <c:pt idx="13">
                  <c:v>Umbria</c:v>
                </c:pt>
                <c:pt idx="14">
                  <c:v>Lazio</c:v>
                </c:pt>
                <c:pt idx="15">
                  <c:v>Sardegna</c:v>
                </c:pt>
                <c:pt idx="16">
                  <c:v>Molise</c:v>
                </c:pt>
                <c:pt idx="17">
                  <c:v>Sicilia</c:v>
                </c:pt>
                <c:pt idx="18">
                  <c:v>Calabria</c:v>
                </c:pt>
                <c:pt idx="19">
                  <c:v>Puglia</c:v>
                </c:pt>
                <c:pt idx="20">
                  <c:v>Basilicata</c:v>
                </c:pt>
              </c:strCache>
            </c:strRef>
          </c:cat>
          <c:val>
            <c:numRef>
              <c:f>regioni!$L$104:$L$124</c:f>
              <c:numCache>
                <c:formatCode>General</c:formatCode>
                <c:ptCount val="21"/>
                <c:pt idx="0">
                  <c:v>0.39703336668413602</c:v>
                </c:pt>
                <c:pt idx="1">
                  <c:v>2.3167830631215911</c:v>
                </c:pt>
                <c:pt idx="2">
                  <c:v>3.4727233033239711</c:v>
                </c:pt>
                <c:pt idx="3">
                  <c:v>0.85521863158147904</c:v>
                </c:pt>
                <c:pt idx="4">
                  <c:v>1.3723325044833741</c:v>
                </c:pt>
                <c:pt idx="5">
                  <c:v>3.3673297871457102</c:v>
                </c:pt>
                <c:pt idx="6">
                  <c:v>2.6191658799575008</c:v>
                </c:pt>
                <c:pt idx="7">
                  <c:v>3.571536497287823</c:v>
                </c:pt>
                <c:pt idx="8">
                  <c:v>1.677811315411794</c:v>
                </c:pt>
                <c:pt idx="9">
                  <c:v>0.94232883258368505</c:v>
                </c:pt>
                <c:pt idx="10">
                  <c:v>0.24729933425449099</c:v>
                </c:pt>
                <c:pt idx="11">
                  <c:v>-0.67459120990902899</c:v>
                </c:pt>
                <c:pt idx="12">
                  <c:v>-3.4069590091698418</c:v>
                </c:pt>
                <c:pt idx="13">
                  <c:v>-6.7925015311430499E-3</c:v>
                </c:pt>
                <c:pt idx="14">
                  <c:v>6.4029761440734204E-2</c:v>
                </c:pt>
                <c:pt idx="15">
                  <c:v>-0.77742759064970002</c:v>
                </c:pt>
                <c:pt idx="16">
                  <c:v>-3.7029196723714</c:v>
                </c:pt>
                <c:pt idx="17">
                  <c:v>-3.3944756494542649</c:v>
                </c:pt>
                <c:pt idx="18">
                  <c:v>-4.6498069325977767</c:v>
                </c:pt>
                <c:pt idx="19">
                  <c:v>-2.7236844418440138</c:v>
                </c:pt>
                <c:pt idx="20">
                  <c:v>-4.2885487076831046</c:v>
                </c:pt>
              </c:numCache>
            </c:numRef>
          </c:val>
          <c:smooth val="0"/>
          <c:extLst xmlns:c16r2="http://schemas.microsoft.com/office/drawing/2015/06/chart">
            <c:ext xmlns:c16="http://schemas.microsoft.com/office/drawing/2014/chart" uri="{C3380CC4-5D6E-409C-BE32-E72D297353CC}">
              <c16:uniqueId val="{00000002-FF1E-472E-B742-697DAF95F40B}"/>
            </c:ext>
          </c:extLst>
        </c:ser>
        <c:dLbls>
          <c:showLegendKey val="0"/>
          <c:showVal val="0"/>
          <c:showCatName val="0"/>
          <c:showSerName val="0"/>
          <c:showPercent val="0"/>
          <c:showBubbleSize val="0"/>
        </c:dLbls>
        <c:marker val="1"/>
        <c:smooth val="0"/>
        <c:axId val="166402688"/>
        <c:axId val="166401152"/>
      </c:lineChart>
      <c:catAx>
        <c:axId val="166393344"/>
        <c:scaling>
          <c:orientation val="minMax"/>
        </c:scaling>
        <c:delete val="0"/>
        <c:axPos val="b"/>
        <c:majorGridlines>
          <c:spPr>
            <a:ln>
              <a:solidFill>
                <a:schemeClr val="bg1"/>
              </a:solidFill>
            </a:ln>
          </c:spPr>
        </c:majorGridlines>
        <c:numFmt formatCode="General" sourceLinked="0"/>
        <c:majorTickMark val="none"/>
        <c:minorTickMark val="none"/>
        <c:tickLblPos val="nextTo"/>
        <c:spPr>
          <a:ln>
            <a:solidFill>
              <a:schemeClr val="bg1"/>
            </a:solidFill>
          </a:ln>
        </c:spPr>
        <c:txPr>
          <a:bodyPr/>
          <a:lstStyle/>
          <a:p>
            <a:pPr>
              <a:defRPr b="1"/>
            </a:pPr>
            <a:endParaRPr lang="it-IT"/>
          </a:p>
        </c:txPr>
        <c:crossAx val="166395264"/>
        <c:crosses val="autoZero"/>
        <c:auto val="1"/>
        <c:lblAlgn val="ctr"/>
        <c:lblOffset val="100"/>
        <c:noMultiLvlLbl val="0"/>
      </c:catAx>
      <c:valAx>
        <c:axId val="166395264"/>
        <c:scaling>
          <c:orientation val="minMax"/>
        </c:scaling>
        <c:delete val="0"/>
        <c:axPos val="l"/>
        <c:majorGridlines>
          <c:spPr>
            <a:ln>
              <a:solidFill>
                <a:schemeClr val="bg1"/>
              </a:solidFill>
            </a:ln>
          </c:spPr>
        </c:majorGridlines>
        <c:numFmt formatCode="General" sourceLinked="1"/>
        <c:majorTickMark val="none"/>
        <c:minorTickMark val="none"/>
        <c:tickLblPos val="nextTo"/>
        <c:spPr>
          <a:ln>
            <a:solidFill>
              <a:schemeClr val="bg1"/>
            </a:solidFill>
          </a:ln>
        </c:spPr>
        <c:crossAx val="166393344"/>
        <c:crosses val="autoZero"/>
        <c:crossBetween val="between"/>
      </c:valAx>
      <c:valAx>
        <c:axId val="166401152"/>
        <c:scaling>
          <c:orientation val="minMax"/>
        </c:scaling>
        <c:delete val="0"/>
        <c:axPos val="r"/>
        <c:numFmt formatCode="General" sourceLinked="1"/>
        <c:majorTickMark val="none"/>
        <c:minorTickMark val="none"/>
        <c:tickLblPos val="nextTo"/>
        <c:spPr>
          <a:ln>
            <a:solidFill>
              <a:schemeClr val="bg1"/>
            </a:solidFill>
          </a:ln>
        </c:spPr>
        <c:crossAx val="166402688"/>
        <c:crosses val="max"/>
        <c:crossBetween val="between"/>
      </c:valAx>
      <c:catAx>
        <c:axId val="166402688"/>
        <c:scaling>
          <c:orientation val="minMax"/>
        </c:scaling>
        <c:delete val="1"/>
        <c:axPos val="b"/>
        <c:numFmt formatCode="General" sourceLinked="1"/>
        <c:majorTickMark val="out"/>
        <c:minorTickMark val="none"/>
        <c:tickLblPos val="nextTo"/>
        <c:crossAx val="166401152"/>
        <c:crosses val="autoZero"/>
        <c:auto val="1"/>
        <c:lblAlgn val="ctr"/>
        <c:lblOffset val="100"/>
        <c:noMultiLvlLbl val="0"/>
      </c:catAx>
      <c:spPr>
        <a:noFill/>
      </c:spPr>
    </c:plotArea>
    <c:legend>
      <c:legendPos val="t"/>
      <c:layout>
        <c:manualLayout>
          <c:xMode val="edge"/>
          <c:yMode val="edge"/>
          <c:x val="0.21434930996311133"/>
          <c:y val="2.0901932712956334E-2"/>
          <c:w val="0.56319618235624369"/>
          <c:h val="8.4041186635115422E-2"/>
        </c:manualLayout>
      </c:layout>
      <c:overlay val="0"/>
    </c:legend>
    <c:plotVisOnly val="1"/>
    <c:dispBlanksAs val="gap"/>
    <c:showDLblsOverMax val="0"/>
  </c:chart>
  <c:spPr>
    <a:noFill/>
    <a:ln>
      <a:noFill/>
    </a:ln>
  </c:spPr>
  <c:txPr>
    <a:bodyPr/>
    <a:lstStyle/>
    <a:p>
      <a:pPr>
        <a:defRPr sz="900">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C8202-17D5-42FD-8969-4AD654229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6101</Words>
  <Characters>34778</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40798</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Licari</dc:creator>
  <cp:lastModifiedBy>Patrizia Cacioli</cp:lastModifiedBy>
  <cp:revision>2</cp:revision>
  <cp:lastPrinted>2019-10-28T12:38:00Z</cp:lastPrinted>
  <dcterms:created xsi:type="dcterms:W3CDTF">2019-12-13T12:36:00Z</dcterms:created>
  <dcterms:modified xsi:type="dcterms:W3CDTF">2019-12-13T12:36:00Z</dcterms:modified>
</cp:coreProperties>
</file>